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A9D6B1D" w14:textId="77777777" w:rsidR="0049404C" w:rsidRDefault="00580C7F" w:rsidP="00AE43B1">
      <w:pPr>
        <w:spacing w:after="158"/>
        <w:ind w:left="0" w:right="4" w:firstLine="0"/>
        <w:jc w:val="center"/>
      </w:pPr>
      <w:r>
        <w:rPr>
          <w:b/>
        </w:rPr>
        <w:t>A REVIEW OF VERB SERIALIZATIONS IN GA</w:t>
      </w:r>
    </w:p>
    <w:p w14:paraId="6423223B" w14:textId="77777777" w:rsidR="0049404C" w:rsidRDefault="00DF61EA" w:rsidP="00AE43B1">
      <w:pPr>
        <w:spacing w:after="0" w:line="396" w:lineRule="auto"/>
      </w:pPr>
      <w:r>
        <w:rPr>
          <w:b/>
        </w:rPr>
        <w:t>ABSTRACT:</w:t>
      </w:r>
    </w:p>
    <w:p w14:paraId="32E52473" w14:textId="77777777" w:rsidR="0049404C" w:rsidRDefault="00DF61EA" w:rsidP="00AE43B1">
      <w:pPr>
        <w:spacing w:after="167"/>
        <w:ind w:left="-5"/>
      </w:pPr>
      <w:r>
        <w:t xml:space="preserve">This essay seeks to review briefly the phenomenon of serial verb constructions in Ga. Serial Verbs Constructions (SVCs) are an </w:t>
      </w:r>
      <w:proofErr w:type="spellStart"/>
      <w:r>
        <w:t>areal</w:t>
      </w:r>
      <w:proofErr w:type="spellEnd"/>
      <w:r>
        <w:t xml:space="preserve"> feature of many West African languages, though some Eastern and near Eastern languages like Tamil, Arabic and Mandarin Chinese display similar phenomena. Extensive research by many writers </w:t>
      </w:r>
      <w:proofErr w:type="spellStart"/>
      <w:r>
        <w:t>Dakubu</w:t>
      </w:r>
      <w:proofErr w:type="spellEnd"/>
      <w:r>
        <w:t xml:space="preserve"> (1970, 1993, 1994), </w:t>
      </w:r>
      <w:proofErr w:type="spellStart"/>
      <w:r>
        <w:t>Osam</w:t>
      </w:r>
      <w:proofErr w:type="spellEnd"/>
      <w:r>
        <w:t xml:space="preserve"> (2004), Lord (1977), </w:t>
      </w:r>
      <w:proofErr w:type="spellStart"/>
      <w:r>
        <w:t>Aikhenvald</w:t>
      </w:r>
      <w:proofErr w:type="spellEnd"/>
      <w:r>
        <w:t xml:space="preserve"> and Dixon (2006) has been done in this subject area, yet the phenomenon seems to act peculiarly on a language to language basis. In this paper, I will review the phenomenon of SVCs by identifying its various features and characteristics in Ga.</w:t>
      </w:r>
    </w:p>
    <w:p w14:paraId="1BB422A7" w14:textId="77777777" w:rsidR="0049404C" w:rsidRDefault="00DF61EA" w:rsidP="00AE43B1">
      <w:pPr>
        <w:spacing w:after="145" w:line="265" w:lineRule="auto"/>
        <w:ind w:left="-5"/>
      </w:pPr>
      <w:r>
        <w:rPr>
          <w:b/>
        </w:rPr>
        <w:t>1.0</w:t>
      </w:r>
      <w:r>
        <w:rPr>
          <w:rFonts w:ascii="Arial" w:eastAsia="Arial" w:hAnsi="Arial" w:cs="Arial"/>
          <w:b/>
        </w:rPr>
        <w:t xml:space="preserve"> </w:t>
      </w:r>
      <w:r>
        <w:rPr>
          <w:b/>
        </w:rPr>
        <w:t>INTRODUCTION:</w:t>
      </w:r>
    </w:p>
    <w:p w14:paraId="68A21018" w14:textId="77777777" w:rsidR="0049404C" w:rsidRDefault="00DF61EA" w:rsidP="00AE43B1">
      <w:pPr>
        <w:spacing w:after="166" w:line="240" w:lineRule="auto"/>
        <w:ind w:left="-5"/>
      </w:pPr>
      <w:r>
        <w:t xml:space="preserve">Zimmerman was the first to observe SVCs in Ga. He called it ‘verb compounding’ Zimmerman </w:t>
      </w:r>
      <w:commentRangeStart w:id="0"/>
      <w:r>
        <w:t xml:space="preserve">(1858). </w:t>
      </w:r>
      <w:commentRangeEnd w:id="0"/>
      <w:r w:rsidR="007D6FA9">
        <w:rPr>
          <w:rStyle w:val="CommentReference"/>
        </w:rPr>
        <w:commentReference w:id="0"/>
      </w:r>
      <w:r>
        <w:t xml:space="preserve">He observes: the combination of verbs with verbs without conjunctions and without forming two sentences is a feature which seems now peculiar to the family of languages Ga belongs </w:t>
      </w:r>
      <w:r w:rsidR="00947763">
        <w:t>to but</w:t>
      </w:r>
      <w:r>
        <w:t xml:space="preserve"> may have originally been the case in other languages too.</w:t>
      </w:r>
    </w:p>
    <w:p w14:paraId="2C506819" w14:textId="77777777" w:rsidR="0049404C" w:rsidRDefault="00DF61EA" w:rsidP="00AE43B1">
      <w:pPr>
        <w:spacing w:after="148" w:line="265" w:lineRule="auto"/>
        <w:ind w:left="-5"/>
      </w:pPr>
      <w:r>
        <w:rPr>
          <w:b/>
        </w:rPr>
        <w:t>1.1</w:t>
      </w:r>
      <w:r>
        <w:rPr>
          <w:b/>
          <w:color w:val="FFFFFF"/>
        </w:rPr>
        <w:t>j</w:t>
      </w:r>
      <w:r>
        <w:rPr>
          <w:b/>
        </w:rPr>
        <w:t>Defining Serial Verb Constructions:</w:t>
      </w:r>
    </w:p>
    <w:p w14:paraId="23B658D5" w14:textId="77777777" w:rsidR="0049404C" w:rsidRDefault="00DF61EA" w:rsidP="00AE43B1">
      <w:pPr>
        <w:spacing w:after="158" w:line="240" w:lineRule="auto"/>
        <w:ind w:left="-5"/>
      </w:pPr>
      <w:proofErr w:type="spellStart"/>
      <w:r>
        <w:t>Aikhenvald</w:t>
      </w:r>
      <w:proofErr w:type="spellEnd"/>
      <w:r>
        <w:t xml:space="preserve"> (2006:26) writing on the phenomenon of SVC notes that a serial verb construction (SVC) is a sequence of verbs which act together as a single predicate, without any overt marker of coordination, subordination, or syntactic dependency of any other sort.</w:t>
      </w:r>
    </w:p>
    <w:p w14:paraId="257A9D60" w14:textId="77777777" w:rsidR="0049404C" w:rsidRDefault="00DF61EA" w:rsidP="00AE43B1">
      <w:pPr>
        <w:spacing w:after="161" w:line="240" w:lineRule="auto"/>
        <w:ind w:left="-5"/>
      </w:pPr>
      <w:r>
        <w:t xml:space="preserve">She further explains that serial verb constructions describe what is conceptualized as a single event. They are </w:t>
      </w:r>
      <w:proofErr w:type="spellStart"/>
      <w:r>
        <w:t>monoclausal</w:t>
      </w:r>
      <w:proofErr w:type="spellEnd"/>
      <w:r>
        <w:t xml:space="preserve">; their intonational properties are the same as those of a </w:t>
      </w:r>
      <w:proofErr w:type="spellStart"/>
      <w:r>
        <w:t>monoverbal</w:t>
      </w:r>
      <w:proofErr w:type="spellEnd"/>
      <w:r>
        <w:t xml:space="preserve"> clause, and they have just one tense, aspect, and polarity value. SVCs may also share core and other arguments. Each component of an SVC must be able to occur on its own. Within an SVC, the individual verbs may have same, or different, transitivity values.</w:t>
      </w:r>
    </w:p>
    <w:p w14:paraId="6BF435FA" w14:textId="77777777" w:rsidR="0049404C" w:rsidRDefault="00DF61EA" w:rsidP="00AE43B1">
      <w:pPr>
        <w:spacing w:after="416" w:line="240" w:lineRule="auto"/>
        <w:ind w:left="-5"/>
      </w:pPr>
      <w:r>
        <w:t>From</w:t>
      </w:r>
      <w:commentRangeStart w:id="1"/>
      <w:r>
        <w:t xml:space="preserve"> Zimmerman </w:t>
      </w:r>
      <w:commentRangeEnd w:id="1"/>
      <w:r w:rsidR="008F7050">
        <w:rPr>
          <w:rStyle w:val="CommentReference"/>
        </w:rPr>
        <w:commentReference w:id="1"/>
      </w:r>
      <w:r>
        <w:t xml:space="preserve">and </w:t>
      </w:r>
      <w:proofErr w:type="spellStart"/>
      <w:r>
        <w:t>Aikhenvald</w:t>
      </w:r>
      <w:proofErr w:type="spellEnd"/>
      <w:r>
        <w:t xml:space="preserve"> we can deduce the following characteristics of SVCs:</w:t>
      </w:r>
    </w:p>
    <w:p w14:paraId="12C7AA50" w14:textId="77777777" w:rsidR="0049404C" w:rsidRDefault="00DF61EA" w:rsidP="00AE43B1">
      <w:pPr>
        <w:numPr>
          <w:ilvl w:val="0"/>
          <w:numId w:val="1"/>
        </w:numPr>
        <w:spacing w:line="240" w:lineRule="auto"/>
        <w:ind w:hanging="360"/>
      </w:pPr>
      <w:r>
        <w:t>The verbs in the construction have the same subject</w:t>
      </w:r>
    </w:p>
    <w:p w14:paraId="10DD8785" w14:textId="77777777" w:rsidR="0049404C" w:rsidRDefault="00DF61EA" w:rsidP="00AE43B1">
      <w:pPr>
        <w:numPr>
          <w:ilvl w:val="0"/>
          <w:numId w:val="1"/>
        </w:numPr>
        <w:spacing w:after="255" w:line="240" w:lineRule="auto"/>
        <w:ind w:hanging="360"/>
      </w:pPr>
      <w:r>
        <w:t>The pronoun form of the subject may be repeated on the second verb</w:t>
      </w:r>
    </w:p>
    <w:p w14:paraId="1DA4C599" w14:textId="77777777" w:rsidR="0049404C" w:rsidRDefault="00DF61EA" w:rsidP="00AE43B1">
      <w:pPr>
        <w:numPr>
          <w:ilvl w:val="0"/>
          <w:numId w:val="1"/>
        </w:numPr>
        <w:spacing w:after="255" w:line="240" w:lineRule="auto"/>
        <w:ind w:hanging="360"/>
      </w:pPr>
      <w:r>
        <w:t>The verbs do not have a conjunction between them and they express a single event</w:t>
      </w:r>
    </w:p>
    <w:p w14:paraId="553D2E9C" w14:textId="77777777" w:rsidR="0049404C" w:rsidRDefault="00DF61EA" w:rsidP="00AE43B1">
      <w:pPr>
        <w:numPr>
          <w:ilvl w:val="0"/>
          <w:numId w:val="1"/>
        </w:numPr>
        <w:spacing w:after="161" w:line="240" w:lineRule="auto"/>
        <w:ind w:hanging="360"/>
      </w:pPr>
      <w:r>
        <w:t>In most cases the verbs share the same tense and aspect though they do not agree in tense and aspect in a few others.</w:t>
      </w:r>
    </w:p>
    <w:p w14:paraId="27320112" w14:textId="77777777" w:rsidR="0049404C" w:rsidRDefault="00DF61EA" w:rsidP="00AE43B1">
      <w:pPr>
        <w:spacing w:after="217" w:line="240" w:lineRule="auto"/>
        <w:ind w:left="-5"/>
      </w:pPr>
      <w:r>
        <w:t>Essentially, we refer to serial verb construction as a grammatical concept which involves series of different verbs and their arguments occurring in what seems to be a single clause. This paper has been geared to help identify the peculiar characteristics of SVCs and follow with the analysis to the constraints that govern them in Ga.</w:t>
      </w:r>
    </w:p>
    <w:p w14:paraId="445FE6AE" w14:textId="77777777" w:rsidR="0049404C" w:rsidRDefault="0049404C" w:rsidP="00AE43B1">
      <w:pPr>
        <w:spacing w:after="256"/>
        <w:ind w:left="0" w:firstLine="0"/>
      </w:pPr>
    </w:p>
    <w:p w14:paraId="2E218491" w14:textId="77777777" w:rsidR="0049404C" w:rsidRDefault="0049404C" w:rsidP="00AE43B1">
      <w:pPr>
        <w:spacing w:after="254"/>
        <w:ind w:left="0" w:firstLine="0"/>
      </w:pPr>
    </w:p>
    <w:p w14:paraId="56E782F8" w14:textId="77777777" w:rsidR="0049404C" w:rsidRDefault="00DF61EA" w:rsidP="00AE43B1">
      <w:pPr>
        <w:spacing w:after="246" w:line="265" w:lineRule="auto"/>
        <w:ind w:left="-5"/>
      </w:pPr>
      <w:r>
        <w:rPr>
          <w:b/>
        </w:rPr>
        <w:lastRenderedPageBreak/>
        <w:t>1.2 The Ga Language</w:t>
      </w:r>
    </w:p>
    <w:p w14:paraId="0A984B33" w14:textId="77777777" w:rsidR="0049404C" w:rsidRDefault="00DF61EA" w:rsidP="00AE43B1">
      <w:pPr>
        <w:spacing w:after="158" w:line="240" w:lineRule="auto"/>
        <w:ind w:left="-5"/>
      </w:pPr>
      <w:r>
        <w:t xml:space="preserve">Ga belongs to the Kwa group of the Niger-Congo language family. </w:t>
      </w:r>
      <w:commentRangeStart w:id="2"/>
      <w:r>
        <w:t xml:space="preserve">It has been classified along with Dangme by Williamson (1989) under the </w:t>
      </w:r>
      <w:proofErr w:type="spellStart"/>
      <w:r>
        <w:t>Nyo</w:t>
      </w:r>
      <w:proofErr w:type="spellEnd"/>
      <w:r>
        <w:t xml:space="preserve"> sub-group of Kwa languages. </w:t>
      </w:r>
      <w:commentRangeEnd w:id="2"/>
      <w:r w:rsidR="00AF2EDE">
        <w:rPr>
          <w:rStyle w:val="CommentReference"/>
        </w:rPr>
        <w:commentReference w:id="2"/>
      </w:r>
      <w:r>
        <w:t xml:space="preserve">Ga is the language of the indigenous people who live in south-eastern Ghana, (Ga land) which extends along the coast through Accra, </w:t>
      </w:r>
      <w:proofErr w:type="spellStart"/>
      <w:r>
        <w:t>Osu</w:t>
      </w:r>
      <w:proofErr w:type="spellEnd"/>
      <w:r>
        <w:t xml:space="preserve">, La, Teshie, Nungua, </w:t>
      </w:r>
      <w:proofErr w:type="spellStart"/>
      <w:r>
        <w:t>Tema</w:t>
      </w:r>
      <w:proofErr w:type="spellEnd"/>
      <w:r>
        <w:t xml:space="preserve">, northward to </w:t>
      </w:r>
      <w:proofErr w:type="spellStart"/>
      <w:r>
        <w:t>Ayi</w:t>
      </w:r>
      <w:proofErr w:type="spellEnd"/>
      <w:r>
        <w:t xml:space="preserve"> Mensah at the foot of the Akwapim Mountains and down south to </w:t>
      </w:r>
      <w:proofErr w:type="spellStart"/>
      <w:r>
        <w:t>Kasoa</w:t>
      </w:r>
      <w:proofErr w:type="spellEnd"/>
      <w:r>
        <w:t>. It is roughly estimated that about 3.4% of Ghana’s population (600,000 people) speak Ga as their first language. Lewis (2015)</w:t>
      </w:r>
    </w:p>
    <w:p w14:paraId="0F89949C" w14:textId="77777777" w:rsidR="0049404C" w:rsidRDefault="00DF61EA" w:rsidP="00AE43B1">
      <w:pPr>
        <w:spacing w:line="240" w:lineRule="auto"/>
        <w:ind w:left="-5"/>
      </w:pPr>
      <w:r>
        <w:t xml:space="preserve">The history of the Ga relates that at various times in their migration have interacted with other tribes (the Ewes, </w:t>
      </w:r>
      <w:proofErr w:type="spellStart"/>
      <w:r>
        <w:t>Akans</w:t>
      </w:r>
      <w:proofErr w:type="spellEnd"/>
      <w:r>
        <w:t xml:space="preserve">, </w:t>
      </w:r>
      <w:commentRangeStart w:id="3"/>
      <w:proofErr w:type="spellStart"/>
      <w:r>
        <w:t>Obotus</w:t>
      </w:r>
      <w:commentRangeEnd w:id="3"/>
      <w:proofErr w:type="spellEnd"/>
      <w:r w:rsidR="00AF2EDE">
        <w:rPr>
          <w:rStyle w:val="CommentReference"/>
        </w:rPr>
        <w:commentReference w:id="3"/>
      </w:r>
      <w:r>
        <w:t xml:space="preserve"> and </w:t>
      </w:r>
      <w:proofErr w:type="spellStart"/>
      <w:r>
        <w:t>Akwamus</w:t>
      </w:r>
      <w:proofErr w:type="spellEnd"/>
      <w:r>
        <w:t xml:space="preserve">) before settling at the </w:t>
      </w:r>
      <w:r w:rsidR="00947763">
        <w:t>present-day</w:t>
      </w:r>
      <w:r>
        <w:t xml:space="preserve"> Ga land. They also have lived with various Europeans; the Portuguese, Dutch, Danes, French, Germans and</w:t>
      </w:r>
      <w:bookmarkStart w:id="4" w:name="_GoBack"/>
      <w:bookmarkEnd w:id="4"/>
      <w:r>
        <w:t xml:space="preserve"> finally the English. The Ga lexicon has therefore been significantly influenced by these languages.</w:t>
      </w:r>
    </w:p>
    <w:p w14:paraId="2C16D72D" w14:textId="77777777" w:rsidR="0049404C" w:rsidRDefault="00DF61EA" w:rsidP="00AE43B1">
      <w:pPr>
        <w:spacing w:line="240" w:lineRule="auto"/>
        <w:ind w:left="-5"/>
      </w:pPr>
      <w:commentRangeStart w:id="5"/>
      <w:r>
        <w:t>Ga has a Latin-based orthography consisting of 26 letters.</w:t>
      </w:r>
      <w:commentRangeEnd w:id="5"/>
      <w:r w:rsidR="00AF2EDE">
        <w:rPr>
          <w:rStyle w:val="CommentReference"/>
        </w:rPr>
        <w:commentReference w:id="5"/>
      </w:r>
    </w:p>
    <w:p w14:paraId="03499D29" w14:textId="77777777" w:rsidR="0049404C" w:rsidRDefault="00DF61EA" w:rsidP="00AE43B1">
      <w:pPr>
        <w:spacing w:after="157" w:line="240" w:lineRule="auto"/>
        <w:ind w:left="-5"/>
      </w:pPr>
      <w:r>
        <w:t xml:space="preserve">According to </w:t>
      </w:r>
      <w:commentRangeStart w:id="6"/>
      <w:r>
        <w:t xml:space="preserve">Adjei (1999), </w:t>
      </w:r>
      <w:commentRangeEnd w:id="6"/>
      <w:r w:rsidR="00AF2EDE">
        <w:rPr>
          <w:rStyle w:val="CommentReference"/>
        </w:rPr>
        <w:commentReference w:id="6"/>
      </w:r>
      <w:r>
        <w:t xml:space="preserve">Ga has had a longer period of written tradition as compared with other languages in Ghana. By 1854, the whole Bible had been translated to Ga. Hansen (1856), Zimmerman (1858) and </w:t>
      </w:r>
      <w:proofErr w:type="spellStart"/>
      <w:r>
        <w:t>Wilkie</w:t>
      </w:r>
      <w:proofErr w:type="spellEnd"/>
      <w:r>
        <w:t xml:space="preserve"> (1930) all wrote on the grammatical principles and ethnology of the Ga language. Today, the “</w:t>
      </w:r>
      <w:proofErr w:type="spellStart"/>
      <w:r>
        <w:t>Nilee</w:t>
      </w:r>
      <w:proofErr w:type="spellEnd"/>
      <w:r>
        <w:t xml:space="preserve"> Gbԑ” series are used for instruction as the main textbook of Ga in basic schools.</w:t>
      </w:r>
    </w:p>
    <w:p w14:paraId="3A1EF022" w14:textId="77777777" w:rsidR="0049404C" w:rsidRDefault="00DF61EA" w:rsidP="00AE43B1">
      <w:pPr>
        <w:spacing w:after="181" w:line="265" w:lineRule="auto"/>
        <w:ind w:left="-5"/>
      </w:pPr>
      <w:r>
        <w:rPr>
          <w:b/>
        </w:rPr>
        <w:t>1.2 Serial Verb Constructions in Ga</w:t>
      </w:r>
    </w:p>
    <w:p w14:paraId="4FEF11B5" w14:textId="77777777" w:rsidR="0049404C" w:rsidRDefault="00DF61EA" w:rsidP="00AE43B1">
      <w:pPr>
        <w:spacing w:after="163" w:line="240" w:lineRule="auto"/>
        <w:ind w:left="-5"/>
      </w:pPr>
      <w:proofErr w:type="spellStart"/>
      <w:r>
        <w:t>Dakubu</w:t>
      </w:r>
      <w:proofErr w:type="spellEnd"/>
      <w:r>
        <w:t xml:space="preserve"> (1999) describes SVCs in Ga as “constructions in which the sentence (or clause) includes not one VP but two or three with a singular subject. Serial verb constructions in Ga have the same subject and the verbs agree in tense, aspect and polarity. </w:t>
      </w:r>
      <w:proofErr w:type="spellStart"/>
      <w:r>
        <w:t>Dakubu</w:t>
      </w:r>
      <w:proofErr w:type="spellEnd"/>
      <w:r>
        <w:t xml:space="preserve"> has categorized Ga serial verb constructions into two: </w:t>
      </w:r>
      <w:proofErr w:type="spellStart"/>
      <w:r>
        <w:t>resumptive</w:t>
      </w:r>
      <w:proofErr w:type="spellEnd"/>
      <w:r>
        <w:t xml:space="preserve"> and non-</w:t>
      </w:r>
      <w:proofErr w:type="spellStart"/>
      <w:r>
        <w:t>resumptive</w:t>
      </w:r>
      <w:proofErr w:type="spellEnd"/>
      <w:r>
        <w:t xml:space="preserve">. With </w:t>
      </w:r>
      <w:proofErr w:type="spellStart"/>
      <w:r>
        <w:t>resumptive</w:t>
      </w:r>
      <w:proofErr w:type="spellEnd"/>
      <w:r>
        <w:t xml:space="preserve"> serial verb constructions, the NP subject occurs only once before the first VP, but the pronominal prefix on the other verbs agree with the NP or pronominal subject in person and in number. An example of a </w:t>
      </w:r>
      <w:proofErr w:type="spellStart"/>
      <w:r>
        <w:t>resumptive</w:t>
      </w:r>
      <w:proofErr w:type="spellEnd"/>
      <w:r>
        <w:t xml:space="preserve"> SVC is illustrated below:</w:t>
      </w:r>
    </w:p>
    <w:p w14:paraId="218736EE" w14:textId="77777777" w:rsidR="0049404C" w:rsidRDefault="00DF61EA" w:rsidP="00AE43B1">
      <w:pPr>
        <w:ind w:left="370"/>
      </w:pPr>
      <w:r>
        <w:t>1)</w:t>
      </w:r>
    </w:p>
    <w:tbl>
      <w:tblPr>
        <w:tblStyle w:val="TableGrid"/>
        <w:tblW w:w="8817" w:type="dxa"/>
        <w:tblInd w:w="0" w:type="dxa"/>
        <w:tblLook w:val="04A0" w:firstRow="1" w:lastRow="0" w:firstColumn="1" w:lastColumn="0" w:noHBand="0" w:noVBand="1"/>
      </w:tblPr>
      <w:tblGrid>
        <w:gridCol w:w="1087"/>
        <w:gridCol w:w="3742"/>
        <w:gridCol w:w="1474"/>
        <w:gridCol w:w="2161"/>
        <w:gridCol w:w="353"/>
      </w:tblGrid>
      <w:tr w:rsidR="0049404C" w14:paraId="42F5957E" w14:textId="77777777">
        <w:trPr>
          <w:trHeight w:val="1542"/>
        </w:trPr>
        <w:tc>
          <w:tcPr>
            <w:tcW w:w="1087" w:type="dxa"/>
            <w:tcBorders>
              <w:top w:val="nil"/>
              <w:left w:val="nil"/>
              <w:bottom w:val="nil"/>
              <w:right w:val="nil"/>
            </w:tcBorders>
            <w:vAlign w:val="bottom"/>
          </w:tcPr>
          <w:p w14:paraId="5B530AB2" w14:textId="77777777" w:rsidR="0049404C" w:rsidRDefault="0049404C" w:rsidP="00AE43B1">
            <w:pPr>
              <w:spacing w:after="156"/>
              <w:ind w:left="0" w:firstLine="0"/>
            </w:pPr>
          </w:p>
          <w:p w14:paraId="1BCE3E62" w14:textId="77777777" w:rsidR="0049404C" w:rsidRDefault="0049404C" w:rsidP="00AE43B1">
            <w:pPr>
              <w:spacing w:after="161"/>
              <w:ind w:left="0" w:firstLine="0"/>
            </w:pPr>
          </w:p>
          <w:p w14:paraId="523C08C5" w14:textId="77777777" w:rsidR="0049404C" w:rsidRDefault="00DF61EA" w:rsidP="00AE43B1">
            <w:pPr>
              <w:spacing w:after="0"/>
              <w:ind w:left="0" w:right="167" w:firstLine="0"/>
            </w:pPr>
            <w:r>
              <w:t>2)</w:t>
            </w:r>
          </w:p>
        </w:tc>
        <w:tc>
          <w:tcPr>
            <w:tcW w:w="3742" w:type="dxa"/>
            <w:tcBorders>
              <w:top w:val="nil"/>
              <w:left w:val="nil"/>
              <w:bottom w:val="nil"/>
              <w:right w:val="nil"/>
            </w:tcBorders>
          </w:tcPr>
          <w:p w14:paraId="64295F3B" w14:textId="77777777" w:rsidR="0049404C" w:rsidRDefault="00DF61EA" w:rsidP="00AE43B1">
            <w:pPr>
              <w:tabs>
                <w:tab w:val="center" w:pos="1957"/>
              </w:tabs>
              <w:spacing w:after="0"/>
              <w:ind w:left="0" w:firstLine="0"/>
            </w:pPr>
            <w:proofErr w:type="spellStart"/>
            <w:r>
              <w:t>Ajele</w:t>
            </w:r>
            <w:proofErr w:type="spellEnd"/>
            <w:r>
              <w:t xml:space="preserve"> </w:t>
            </w:r>
            <w:r>
              <w:tab/>
            </w:r>
            <w:commentRangeStart w:id="7"/>
            <w:r>
              <w:t>la</w:t>
            </w:r>
            <w:commentRangeEnd w:id="7"/>
            <w:r w:rsidR="000C348E">
              <w:rPr>
                <w:rStyle w:val="CommentReference"/>
              </w:rPr>
              <w:commentReference w:id="7"/>
            </w:r>
          </w:p>
          <w:p w14:paraId="22374954" w14:textId="77777777" w:rsidR="0049404C" w:rsidRDefault="00DF61EA" w:rsidP="00AE43B1">
            <w:pPr>
              <w:tabs>
                <w:tab w:val="center" w:pos="2380"/>
              </w:tabs>
              <w:spacing w:after="29"/>
              <w:ind w:left="0" w:firstLine="0"/>
            </w:pPr>
            <w:proofErr w:type="spellStart"/>
            <w:r>
              <w:t>Ajele</w:t>
            </w:r>
            <w:proofErr w:type="spellEnd"/>
            <w:r>
              <w:t xml:space="preserve"> </w:t>
            </w:r>
            <w:r>
              <w:tab/>
            </w:r>
            <w:proofErr w:type="spellStart"/>
            <w:r>
              <w:t>IMPF.sing</w:t>
            </w:r>
            <w:proofErr w:type="spellEnd"/>
          </w:p>
          <w:p w14:paraId="3E04EEC3" w14:textId="77777777" w:rsidR="0049404C" w:rsidRDefault="00DF61EA" w:rsidP="00AE43B1">
            <w:pPr>
              <w:spacing w:after="444"/>
              <w:ind w:left="0" w:firstLine="0"/>
            </w:pPr>
            <w:r>
              <w:t>‘</w:t>
            </w:r>
            <w:proofErr w:type="spellStart"/>
            <w:r>
              <w:t>Ajele</w:t>
            </w:r>
            <w:proofErr w:type="spellEnd"/>
            <w:r>
              <w:t xml:space="preserve"> sang a song for me’</w:t>
            </w:r>
          </w:p>
          <w:p w14:paraId="5E48811C" w14:textId="77777777" w:rsidR="0049404C" w:rsidRDefault="00DF61EA" w:rsidP="00AE43B1">
            <w:pPr>
              <w:tabs>
                <w:tab w:val="center" w:pos="2079"/>
              </w:tabs>
              <w:spacing w:after="0"/>
              <w:ind w:left="0" w:firstLine="0"/>
            </w:pPr>
            <w:r>
              <w:rPr>
                <w:sz w:val="22"/>
              </w:rPr>
              <w:t>Kofi</w:t>
            </w:r>
            <w:r>
              <w:t xml:space="preserve"> </w:t>
            </w:r>
            <w:r>
              <w:tab/>
            </w:r>
            <w:commentRangeStart w:id="8"/>
            <w:proofErr w:type="spellStart"/>
            <w:r>
              <w:rPr>
                <w:sz w:val="22"/>
              </w:rPr>
              <w:t>wie</w:t>
            </w:r>
            <w:proofErr w:type="spellEnd"/>
            <w:r>
              <w:rPr>
                <w:sz w:val="22"/>
              </w:rPr>
              <w:t>ↄ</w:t>
            </w:r>
            <w:commentRangeEnd w:id="8"/>
            <w:r w:rsidR="006C75FD">
              <w:rPr>
                <w:rStyle w:val="CommentReference"/>
              </w:rPr>
              <w:commentReference w:id="8"/>
            </w:r>
          </w:p>
        </w:tc>
        <w:tc>
          <w:tcPr>
            <w:tcW w:w="1474" w:type="dxa"/>
            <w:tcBorders>
              <w:top w:val="nil"/>
              <w:left w:val="nil"/>
              <w:bottom w:val="nil"/>
              <w:right w:val="nil"/>
            </w:tcBorders>
          </w:tcPr>
          <w:p w14:paraId="1E8DF9F2" w14:textId="77777777" w:rsidR="0049404C" w:rsidRDefault="00DF61EA" w:rsidP="00AE43B1">
            <w:pPr>
              <w:spacing w:after="0"/>
              <w:ind w:left="0" w:firstLine="0"/>
            </w:pPr>
            <w:proofErr w:type="spellStart"/>
            <w:r>
              <w:t>lala</w:t>
            </w:r>
            <w:proofErr w:type="spellEnd"/>
          </w:p>
          <w:p w14:paraId="47BA8C89" w14:textId="77777777" w:rsidR="0049404C" w:rsidRDefault="00DF61EA" w:rsidP="00AE43B1">
            <w:pPr>
              <w:spacing w:after="738"/>
              <w:ind w:left="0" w:firstLine="0"/>
            </w:pPr>
            <w:r>
              <w:t>song</w:t>
            </w:r>
          </w:p>
          <w:p w14:paraId="5AAE3285" w14:textId="77777777" w:rsidR="0049404C" w:rsidRDefault="00DF61EA" w:rsidP="00AE43B1">
            <w:pPr>
              <w:spacing w:after="0"/>
              <w:ind w:left="0" w:firstLine="0"/>
            </w:pPr>
            <w:proofErr w:type="spellStart"/>
            <w:r>
              <w:rPr>
                <w:sz w:val="22"/>
              </w:rPr>
              <w:t>ts</w:t>
            </w:r>
            <w:proofErr w:type="spellEnd"/>
            <w:r>
              <w:rPr>
                <w:sz w:val="22"/>
              </w:rPr>
              <w:t>ↄↄ</w:t>
            </w:r>
          </w:p>
        </w:tc>
        <w:tc>
          <w:tcPr>
            <w:tcW w:w="2161" w:type="dxa"/>
            <w:tcBorders>
              <w:top w:val="nil"/>
              <w:left w:val="nil"/>
              <w:bottom w:val="nil"/>
              <w:right w:val="nil"/>
            </w:tcBorders>
          </w:tcPr>
          <w:p w14:paraId="67D4EE7B" w14:textId="77777777" w:rsidR="0049404C" w:rsidRDefault="00DF61EA" w:rsidP="00AE43B1">
            <w:pPr>
              <w:spacing w:after="0"/>
              <w:ind w:left="0" w:firstLine="0"/>
            </w:pPr>
            <w:r>
              <w:t>e-</w:t>
            </w:r>
            <w:proofErr w:type="spellStart"/>
            <w:r>
              <w:t>ts</w:t>
            </w:r>
            <w:proofErr w:type="spellEnd"/>
            <w:r>
              <w:t>ↄↄ</w:t>
            </w:r>
          </w:p>
          <w:p w14:paraId="6ECDE08A" w14:textId="77777777" w:rsidR="0049404C" w:rsidRDefault="00DF61EA" w:rsidP="00AE43B1">
            <w:pPr>
              <w:spacing w:after="686"/>
              <w:ind w:left="0" w:firstLine="0"/>
            </w:pPr>
            <w:r>
              <w:t>3SG-IMPF.show</w:t>
            </w:r>
          </w:p>
          <w:p w14:paraId="6B2BF1A3" w14:textId="77777777" w:rsidR="0049404C" w:rsidRDefault="00DF61EA" w:rsidP="00AE43B1">
            <w:pPr>
              <w:spacing w:after="0"/>
              <w:ind w:left="0" w:firstLine="0"/>
            </w:pPr>
            <w:proofErr w:type="spellStart"/>
            <w:r>
              <w:rPr>
                <w:sz w:val="22"/>
              </w:rPr>
              <w:t>Ama</w:t>
            </w:r>
            <w:proofErr w:type="spellEnd"/>
          </w:p>
        </w:tc>
        <w:tc>
          <w:tcPr>
            <w:tcW w:w="353" w:type="dxa"/>
            <w:tcBorders>
              <w:top w:val="nil"/>
              <w:left w:val="nil"/>
              <w:bottom w:val="nil"/>
              <w:right w:val="nil"/>
            </w:tcBorders>
          </w:tcPr>
          <w:p w14:paraId="0FE1DC73" w14:textId="77777777" w:rsidR="0049404C" w:rsidRDefault="00DF61EA" w:rsidP="00AE43B1">
            <w:pPr>
              <w:spacing w:after="727" w:line="238" w:lineRule="auto"/>
              <w:ind w:left="0" w:firstLine="0"/>
            </w:pPr>
            <w:r>
              <w:t>mi me</w:t>
            </w:r>
          </w:p>
          <w:p w14:paraId="66D2E059" w14:textId="77777777" w:rsidR="0049404C" w:rsidRDefault="0049404C" w:rsidP="00AE43B1">
            <w:pPr>
              <w:spacing w:after="0"/>
              <w:ind w:left="0" w:firstLine="0"/>
            </w:pPr>
          </w:p>
        </w:tc>
      </w:tr>
      <w:tr w:rsidR="0049404C" w14:paraId="548F2782" w14:textId="77777777">
        <w:trPr>
          <w:trHeight w:val="279"/>
        </w:trPr>
        <w:tc>
          <w:tcPr>
            <w:tcW w:w="1087" w:type="dxa"/>
            <w:tcBorders>
              <w:top w:val="nil"/>
              <w:left w:val="nil"/>
              <w:bottom w:val="nil"/>
              <w:right w:val="nil"/>
            </w:tcBorders>
          </w:tcPr>
          <w:p w14:paraId="6274D079" w14:textId="77777777" w:rsidR="0049404C" w:rsidRDefault="0049404C" w:rsidP="00AE43B1">
            <w:pPr>
              <w:spacing w:after="160"/>
              <w:ind w:left="0" w:firstLine="0"/>
            </w:pPr>
          </w:p>
        </w:tc>
        <w:tc>
          <w:tcPr>
            <w:tcW w:w="3742" w:type="dxa"/>
            <w:tcBorders>
              <w:top w:val="nil"/>
              <w:left w:val="nil"/>
              <w:bottom w:val="nil"/>
              <w:right w:val="nil"/>
            </w:tcBorders>
          </w:tcPr>
          <w:p w14:paraId="366E99A9" w14:textId="77777777" w:rsidR="0049404C" w:rsidRDefault="00DF61EA" w:rsidP="00AE43B1">
            <w:pPr>
              <w:tabs>
                <w:tab w:val="center" w:pos="2343"/>
              </w:tabs>
              <w:spacing w:after="0"/>
              <w:ind w:left="0" w:firstLine="0"/>
            </w:pPr>
            <w:r>
              <w:rPr>
                <w:sz w:val="22"/>
              </w:rPr>
              <w:t>Kofi</w:t>
            </w:r>
            <w:r>
              <w:t xml:space="preserve"> </w:t>
            </w:r>
            <w:r>
              <w:tab/>
            </w:r>
            <w:proofErr w:type="spellStart"/>
            <w:r>
              <w:rPr>
                <w:sz w:val="22"/>
              </w:rPr>
              <w:t>cook.HAB</w:t>
            </w:r>
            <w:proofErr w:type="spellEnd"/>
          </w:p>
        </w:tc>
        <w:tc>
          <w:tcPr>
            <w:tcW w:w="1474" w:type="dxa"/>
            <w:tcBorders>
              <w:top w:val="nil"/>
              <w:left w:val="nil"/>
              <w:bottom w:val="nil"/>
              <w:right w:val="nil"/>
            </w:tcBorders>
          </w:tcPr>
          <w:p w14:paraId="4C09AADB" w14:textId="77777777" w:rsidR="0049404C" w:rsidRDefault="00DF61EA" w:rsidP="00AE43B1">
            <w:pPr>
              <w:spacing w:after="0"/>
              <w:ind w:left="0" w:firstLine="0"/>
            </w:pPr>
            <w:proofErr w:type="spellStart"/>
            <w:r>
              <w:rPr>
                <w:sz w:val="22"/>
              </w:rPr>
              <w:t>show.HAB</w:t>
            </w:r>
            <w:proofErr w:type="spellEnd"/>
          </w:p>
        </w:tc>
        <w:tc>
          <w:tcPr>
            <w:tcW w:w="2161" w:type="dxa"/>
            <w:tcBorders>
              <w:top w:val="nil"/>
              <w:left w:val="nil"/>
              <w:bottom w:val="nil"/>
              <w:right w:val="nil"/>
            </w:tcBorders>
          </w:tcPr>
          <w:p w14:paraId="29EC71D2" w14:textId="77777777" w:rsidR="0049404C" w:rsidRDefault="00DF61EA" w:rsidP="00AE43B1">
            <w:pPr>
              <w:spacing w:after="0"/>
              <w:ind w:left="0" w:firstLine="0"/>
            </w:pPr>
            <w:proofErr w:type="spellStart"/>
            <w:r>
              <w:rPr>
                <w:sz w:val="22"/>
              </w:rPr>
              <w:t>Ama</w:t>
            </w:r>
            <w:proofErr w:type="spellEnd"/>
          </w:p>
        </w:tc>
        <w:tc>
          <w:tcPr>
            <w:tcW w:w="353" w:type="dxa"/>
            <w:tcBorders>
              <w:top w:val="nil"/>
              <w:left w:val="nil"/>
              <w:bottom w:val="nil"/>
              <w:right w:val="nil"/>
            </w:tcBorders>
          </w:tcPr>
          <w:p w14:paraId="6ED74C18" w14:textId="77777777" w:rsidR="0049404C" w:rsidRDefault="0049404C" w:rsidP="00AE43B1">
            <w:pPr>
              <w:spacing w:after="0"/>
              <w:ind w:left="0" w:firstLine="0"/>
            </w:pPr>
          </w:p>
        </w:tc>
      </w:tr>
    </w:tbl>
    <w:p w14:paraId="12EB8A8F" w14:textId="77777777" w:rsidR="0049404C" w:rsidRDefault="00DF61EA" w:rsidP="00AE43B1">
      <w:pPr>
        <w:tabs>
          <w:tab w:val="center" w:pos="1954"/>
        </w:tabs>
        <w:spacing w:after="108"/>
        <w:ind w:left="0" w:firstLine="0"/>
      </w:pPr>
      <w:r>
        <w:rPr>
          <w:sz w:val="22"/>
        </w:rPr>
        <w:t xml:space="preserve">‘Kofi advises </w:t>
      </w:r>
      <w:proofErr w:type="spellStart"/>
      <w:r>
        <w:rPr>
          <w:sz w:val="22"/>
        </w:rPr>
        <w:t>Ama</w:t>
      </w:r>
      <w:proofErr w:type="spellEnd"/>
      <w:r>
        <w:rPr>
          <w:sz w:val="22"/>
        </w:rPr>
        <w:t>’</w:t>
      </w:r>
    </w:p>
    <w:p w14:paraId="712F4BBD" w14:textId="77777777" w:rsidR="0049404C" w:rsidRDefault="00DF61EA" w:rsidP="00AE43B1">
      <w:pPr>
        <w:spacing w:after="152" w:line="240" w:lineRule="auto"/>
        <w:ind w:left="-5"/>
      </w:pPr>
      <w:r>
        <w:t xml:space="preserve">In the first example above, the first verb presents the action of singing and the second verb </w:t>
      </w:r>
      <w:proofErr w:type="spellStart"/>
      <w:r>
        <w:rPr>
          <w:b/>
        </w:rPr>
        <w:t>ts</w:t>
      </w:r>
      <w:proofErr w:type="spellEnd"/>
      <w:r>
        <w:rPr>
          <w:b/>
        </w:rPr>
        <w:t>ↄↄ</w:t>
      </w:r>
      <w:r>
        <w:t xml:space="preserve"> (show) present the beneficiary. The pronominal subject which occurs before </w:t>
      </w:r>
      <w:proofErr w:type="spellStart"/>
      <w:r>
        <w:rPr>
          <w:b/>
        </w:rPr>
        <w:t>ts</w:t>
      </w:r>
      <w:proofErr w:type="spellEnd"/>
      <w:r>
        <w:rPr>
          <w:b/>
        </w:rPr>
        <w:t>ↄↄ</w:t>
      </w:r>
      <w:r>
        <w:t xml:space="preserve"> agrees in person and in number with the first NP </w:t>
      </w:r>
      <w:proofErr w:type="spellStart"/>
      <w:r>
        <w:rPr>
          <w:b/>
        </w:rPr>
        <w:t>Ajele</w:t>
      </w:r>
      <w:proofErr w:type="spellEnd"/>
      <w:r>
        <w:t xml:space="preserve">. </w:t>
      </w:r>
      <w:r>
        <w:rPr>
          <w:sz w:val="22"/>
        </w:rPr>
        <w:t xml:space="preserve">It can also be observed that the verbs in the sentences above are marked for the same habitual aspect or imperfect tense. </w:t>
      </w:r>
      <w:r>
        <w:t>Should the verbs be marked for a different aspect from that of the other verb would render the sentence ungrammatical</w:t>
      </w:r>
      <w:r>
        <w:rPr>
          <w:sz w:val="22"/>
        </w:rPr>
        <w:t>.</w:t>
      </w:r>
    </w:p>
    <w:p w14:paraId="3E798FEA" w14:textId="77777777" w:rsidR="0049404C" w:rsidRDefault="0049404C" w:rsidP="00AE43B1">
      <w:pPr>
        <w:spacing w:after="0"/>
        <w:ind w:left="0" w:firstLine="0"/>
      </w:pPr>
    </w:p>
    <w:p w14:paraId="5892E065" w14:textId="77777777" w:rsidR="0049404C" w:rsidRDefault="00DF61EA" w:rsidP="00AE43B1">
      <w:pPr>
        <w:spacing w:after="253" w:line="240" w:lineRule="auto"/>
        <w:ind w:left="-5"/>
      </w:pPr>
      <w:r>
        <w:t xml:space="preserve">In non </w:t>
      </w:r>
      <w:proofErr w:type="spellStart"/>
      <w:r>
        <w:t>resumptive</w:t>
      </w:r>
      <w:proofErr w:type="spellEnd"/>
      <w:r>
        <w:t xml:space="preserve"> serial verb constructions, there is no subject verb agreement on the second verb.</w:t>
      </w:r>
    </w:p>
    <w:p w14:paraId="15B75B1C" w14:textId="77777777" w:rsidR="0049404C" w:rsidRDefault="00DF61EA" w:rsidP="00AE43B1">
      <w:pPr>
        <w:spacing w:line="240" w:lineRule="auto"/>
        <w:ind w:left="345" w:right="1228" w:hanging="360"/>
      </w:pPr>
      <w:r>
        <w:lastRenderedPageBreak/>
        <w:t xml:space="preserve">There is, however the introduction of the pre-verb element </w:t>
      </w:r>
      <w:r>
        <w:rPr>
          <w:b/>
        </w:rPr>
        <w:t>kԑ</w:t>
      </w:r>
      <w:r>
        <w:t>. This is seen below: 3)</w:t>
      </w:r>
    </w:p>
    <w:tbl>
      <w:tblPr>
        <w:tblStyle w:val="TableGrid"/>
        <w:tblW w:w="8618" w:type="dxa"/>
        <w:tblInd w:w="0" w:type="dxa"/>
        <w:tblLook w:val="04A0" w:firstRow="1" w:lastRow="0" w:firstColumn="1" w:lastColumn="0" w:noHBand="0" w:noVBand="1"/>
      </w:tblPr>
      <w:tblGrid>
        <w:gridCol w:w="5677"/>
        <w:gridCol w:w="2588"/>
        <w:gridCol w:w="353"/>
      </w:tblGrid>
      <w:tr w:rsidR="0049404C" w14:paraId="315EE706" w14:textId="77777777">
        <w:trPr>
          <w:trHeight w:val="818"/>
        </w:trPr>
        <w:tc>
          <w:tcPr>
            <w:tcW w:w="5677" w:type="dxa"/>
            <w:tcBorders>
              <w:top w:val="nil"/>
              <w:left w:val="nil"/>
              <w:bottom w:val="nil"/>
              <w:right w:val="nil"/>
            </w:tcBorders>
          </w:tcPr>
          <w:p w14:paraId="362F0189" w14:textId="77777777" w:rsidR="0049404C" w:rsidRDefault="00DF61EA" w:rsidP="00AE43B1">
            <w:pPr>
              <w:tabs>
                <w:tab w:val="center" w:pos="1863"/>
                <w:tab w:val="center" w:pos="4702"/>
              </w:tabs>
              <w:spacing w:after="0"/>
              <w:ind w:left="0" w:firstLine="0"/>
            </w:pPr>
            <w:r>
              <w:t>E-</w:t>
            </w:r>
            <w:proofErr w:type="spellStart"/>
            <w:r>
              <w:t>tao</w:t>
            </w:r>
            <w:proofErr w:type="spellEnd"/>
            <w:r>
              <w:t xml:space="preserve"> </w:t>
            </w:r>
            <w:r>
              <w:tab/>
            </w:r>
            <w:proofErr w:type="spellStart"/>
            <w:r>
              <w:t>fↄfↄi</w:t>
            </w:r>
            <w:proofErr w:type="spellEnd"/>
          </w:p>
          <w:p w14:paraId="445ABFBC" w14:textId="77777777" w:rsidR="0049404C" w:rsidRDefault="00DF61EA" w:rsidP="00AE43B1">
            <w:pPr>
              <w:tabs>
                <w:tab w:val="center" w:pos="2786"/>
                <w:tab w:val="center" w:pos="4796"/>
              </w:tabs>
              <w:spacing w:after="61"/>
              <w:ind w:left="0" w:firstLine="0"/>
            </w:pPr>
            <w:r>
              <w:t xml:space="preserve">3SG-IMPF.look for PST </w:t>
            </w:r>
            <w:r>
              <w:tab/>
              <w:t>flower</w:t>
            </w:r>
          </w:p>
          <w:p w14:paraId="687A5667" w14:textId="77777777" w:rsidR="0049404C" w:rsidRDefault="00DF61EA" w:rsidP="00AE43B1">
            <w:pPr>
              <w:spacing w:after="0"/>
              <w:ind w:left="1603" w:firstLine="0"/>
            </w:pPr>
            <w:r>
              <w:t>‘He looked for a flower for me’</w:t>
            </w:r>
          </w:p>
        </w:tc>
        <w:tc>
          <w:tcPr>
            <w:tcW w:w="2588" w:type="dxa"/>
            <w:tcBorders>
              <w:top w:val="nil"/>
              <w:left w:val="nil"/>
              <w:bottom w:val="nil"/>
              <w:right w:val="nil"/>
            </w:tcBorders>
          </w:tcPr>
          <w:p w14:paraId="385195B8" w14:textId="77777777" w:rsidR="0049404C" w:rsidRDefault="00DF61EA" w:rsidP="00AE43B1">
            <w:pPr>
              <w:spacing w:after="0"/>
              <w:ind w:left="158" w:firstLine="0"/>
            </w:pPr>
            <w:commentRangeStart w:id="9"/>
            <w:r>
              <w:t>kԑ-</w:t>
            </w:r>
            <w:proofErr w:type="spellStart"/>
            <w:r>
              <w:t>ba</w:t>
            </w:r>
            <w:proofErr w:type="spellEnd"/>
            <w:r>
              <w:t>-ha</w:t>
            </w:r>
            <w:commentRangeEnd w:id="9"/>
            <w:r w:rsidR="006C75FD">
              <w:rPr>
                <w:rStyle w:val="CommentReference"/>
              </w:rPr>
              <w:commentReference w:id="9"/>
            </w:r>
          </w:p>
          <w:p w14:paraId="2CE987B1" w14:textId="77777777" w:rsidR="0049404C" w:rsidRDefault="00DF61EA" w:rsidP="00AE43B1">
            <w:pPr>
              <w:spacing w:after="0"/>
              <w:ind w:left="158" w:firstLine="0"/>
            </w:pPr>
            <w:r>
              <w:t>OBJ-PP-</w:t>
            </w:r>
            <w:proofErr w:type="spellStart"/>
            <w:r>
              <w:t>IMPF.give</w:t>
            </w:r>
            <w:proofErr w:type="spellEnd"/>
          </w:p>
        </w:tc>
        <w:tc>
          <w:tcPr>
            <w:tcW w:w="353" w:type="dxa"/>
            <w:tcBorders>
              <w:top w:val="nil"/>
              <w:left w:val="nil"/>
              <w:bottom w:val="nil"/>
              <w:right w:val="nil"/>
            </w:tcBorders>
          </w:tcPr>
          <w:p w14:paraId="16074E98" w14:textId="77777777" w:rsidR="0049404C" w:rsidRDefault="00DF61EA" w:rsidP="00AE43B1">
            <w:pPr>
              <w:spacing w:after="0"/>
              <w:ind w:left="0" w:firstLine="0"/>
            </w:pPr>
            <w:r>
              <w:t>mi me</w:t>
            </w:r>
          </w:p>
        </w:tc>
      </w:tr>
    </w:tbl>
    <w:p w14:paraId="20D1A7CD" w14:textId="77777777" w:rsidR="0049404C" w:rsidRDefault="0049404C" w:rsidP="00AE43B1">
      <w:pPr>
        <w:spacing w:after="159" w:line="240" w:lineRule="auto"/>
        <w:ind w:left="0" w:firstLine="0"/>
      </w:pPr>
    </w:p>
    <w:p w14:paraId="261F160D" w14:textId="77777777" w:rsidR="0049404C" w:rsidRDefault="00DF61EA" w:rsidP="00AE43B1">
      <w:pPr>
        <w:spacing w:after="160" w:line="240" w:lineRule="auto"/>
        <w:ind w:left="-5"/>
      </w:pPr>
      <w:r>
        <w:t xml:space="preserve">It appears in non </w:t>
      </w:r>
      <w:proofErr w:type="spellStart"/>
      <w:r>
        <w:t>resumptive</w:t>
      </w:r>
      <w:proofErr w:type="spellEnd"/>
      <w:r>
        <w:t xml:space="preserve"> serialization that the implied object of </w:t>
      </w:r>
      <w:r>
        <w:rPr>
          <w:b/>
        </w:rPr>
        <w:t>kԑ</w:t>
      </w:r>
      <w:r>
        <w:t xml:space="preserve"> must be the same thing as the object of the first verb. This means that VPs in a non </w:t>
      </w:r>
      <w:proofErr w:type="spellStart"/>
      <w:r>
        <w:t>resumptive</w:t>
      </w:r>
      <w:proofErr w:type="spellEnd"/>
      <w:r>
        <w:t xml:space="preserve"> serial construction are more unified. </w:t>
      </w:r>
      <w:commentRangeStart w:id="10"/>
      <w:r>
        <w:t xml:space="preserve">The object of </w:t>
      </w:r>
      <w:r>
        <w:rPr>
          <w:b/>
        </w:rPr>
        <w:t>kԑ</w:t>
      </w:r>
      <w:r>
        <w:t xml:space="preserve"> could also be the entire event of the first VP.</w:t>
      </w:r>
      <w:commentRangeEnd w:id="10"/>
      <w:r w:rsidR="006C75FD">
        <w:rPr>
          <w:rStyle w:val="CommentReference"/>
        </w:rPr>
        <w:commentReference w:id="10"/>
      </w:r>
    </w:p>
    <w:p w14:paraId="119DBB81" w14:textId="77777777" w:rsidR="0049404C" w:rsidRDefault="00DF61EA" w:rsidP="00AE43B1">
      <w:pPr>
        <w:spacing w:after="158" w:line="240" w:lineRule="auto"/>
        <w:ind w:left="-5"/>
      </w:pPr>
      <w:commentRangeStart w:id="11"/>
      <w:r>
        <w:t>It is interesting to note that most verbs in Ga can be serialized either way, like in the examples below:</w:t>
      </w:r>
      <w:commentRangeEnd w:id="11"/>
      <w:r w:rsidR="00182436">
        <w:rPr>
          <w:rStyle w:val="CommentReference"/>
        </w:rPr>
        <w:commentReference w:id="11"/>
      </w:r>
    </w:p>
    <w:p w14:paraId="6B2F01FA" w14:textId="77777777" w:rsidR="0049404C" w:rsidRDefault="00DF61EA" w:rsidP="00AE43B1">
      <w:pPr>
        <w:ind w:left="-5"/>
      </w:pPr>
      <w:r>
        <w:t>4)</w:t>
      </w:r>
    </w:p>
    <w:p w14:paraId="056BC3EB" w14:textId="77777777" w:rsidR="0049404C" w:rsidRDefault="00DF61EA" w:rsidP="00AE43B1">
      <w:pPr>
        <w:numPr>
          <w:ilvl w:val="0"/>
          <w:numId w:val="2"/>
        </w:numPr>
        <w:ind w:hanging="583"/>
      </w:pPr>
      <w:r>
        <w:t xml:space="preserve">E-wo </w:t>
      </w:r>
      <w:r>
        <w:tab/>
      </w:r>
      <w:proofErr w:type="spellStart"/>
      <w:r>
        <w:t>adeka</w:t>
      </w:r>
      <w:proofErr w:type="spellEnd"/>
      <w:r>
        <w:t xml:space="preserve"> </w:t>
      </w:r>
      <w:r>
        <w:tab/>
        <w:t xml:space="preserve">lԑ </w:t>
      </w:r>
      <w:r>
        <w:tab/>
        <w:t xml:space="preserve">e-kԑ-ma </w:t>
      </w:r>
      <w:r>
        <w:tab/>
      </w:r>
      <w:proofErr w:type="spellStart"/>
      <w:r>
        <w:t>shi</w:t>
      </w:r>
      <w:proofErr w:type="spellEnd"/>
    </w:p>
    <w:p w14:paraId="1247B7A9" w14:textId="77777777" w:rsidR="0049404C" w:rsidRDefault="00DF61EA" w:rsidP="00AE43B1">
      <w:pPr>
        <w:tabs>
          <w:tab w:val="center" w:pos="1174"/>
          <w:tab w:val="center" w:pos="2402"/>
          <w:tab w:val="center" w:pos="3689"/>
          <w:tab w:val="center" w:pos="5555"/>
          <w:tab w:val="center" w:pos="7023"/>
          <w:tab w:val="center" w:pos="8710"/>
        </w:tabs>
        <w:spacing w:after="46"/>
        <w:ind w:left="-15" w:firstLine="0"/>
      </w:pPr>
      <w:r>
        <w:t xml:space="preserve">3SG- </w:t>
      </w:r>
      <w:proofErr w:type="spellStart"/>
      <w:r>
        <w:t>IMPFlift</w:t>
      </w:r>
      <w:proofErr w:type="spellEnd"/>
      <w:r>
        <w:t xml:space="preserve"> </w:t>
      </w:r>
      <w:r>
        <w:tab/>
        <w:t xml:space="preserve">box </w:t>
      </w:r>
      <w:r>
        <w:tab/>
        <w:t xml:space="preserve">DET </w:t>
      </w:r>
      <w:r>
        <w:tab/>
        <w:t xml:space="preserve">3SG-OBJ-put  </w:t>
      </w:r>
      <w:r>
        <w:tab/>
        <w:t>PP down</w:t>
      </w:r>
    </w:p>
    <w:p w14:paraId="645D8517" w14:textId="77777777" w:rsidR="0049404C" w:rsidRDefault="00DF61EA" w:rsidP="00AE43B1">
      <w:pPr>
        <w:tabs>
          <w:tab w:val="center" w:pos="1174"/>
          <w:tab w:val="center" w:pos="3473"/>
        </w:tabs>
        <w:ind w:left="0" w:firstLine="0"/>
      </w:pPr>
      <w:r>
        <w:t>‘He took the box and he put it down’</w:t>
      </w:r>
    </w:p>
    <w:p w14:paraId="72C7B41F" w14:textId="77777777" w:rsidR="0049404C" w:rsidRDefault="0049404C" w:rsidP="00AE43B1">
      <w:pPr>
        <w:spacing w:after="396"/>
        <w:ind w:left="0" w:firstLine="0"/>
      </w:pPr>
    </w:p>
    <w:p w14:paraId="7255F142" w14:textId="77777777" w:rsidR="0049404C" w:rsidRDefault="00DF61EA" w:rsidP="00AE43B1">
      <w:pPr>
        <w:numPr>
          <w:ilvl w:val="0"/>
          <w:numId w:val="2"/>
        </w:numPr>
        <w:ind w:hanging="583"/>
      </w:pPr>
      <w:r>
        <w:t xml:space="preserve">E-wo </w:t>
      </w:r>
      <w:r>
        <w:tab/>
      </w:r>
      <w:proofErr w:type="spellStart"/>
      <w:r>
        <w:t>adeka</w:t>
      </w:r>
      <w:proofErr w:type="spellEnd"/>
      <w:r>
        <w:t xml:space="preserve"> </w:t>
      </w:r>
      <w:r>
        <w:tab/>
        <w:t xml:space="preserve">lԑ </w:t>
      </w:r>
      <w:r>
        <w:tab/>
        <w:t xml:space="preserve">kԑ-ma </w:t>
      </w:r>
      <w:r>
        <w:tab/>
      </w:r>
      <w:proofErr w:type="spellStart"/>
      <w:r>
        <w:t>shi</w:t>
      </w:r>
      <w:proofErr w:type="spellEnd"/>
    </w:p>
    <w:p w14:paraId="661575AC" w14:textId="77777777" w:rsidR="0049404C" w:rsidRDefault="00DF61EA" w:rsidP="00AE43B1">
      <w:pPr>
        <w:tabs>
          <w:tab w:val="center" w:pos="1188"/>
          <w:tab w:val="center" w:pos="2474"/>
          <w:tab w:val="center" w:pos="3704"/>
          <w:tab w:val="center" w:pos="5557"/>
          <w:tab w:val="center" w:pos="6811"/>
          <w:tab w:val="center" w:pos="8682"/>
        </w:tabs>
        <w:spacing w:after="37"/>
        <w:ind w:left="-15" w:firstLine="0"/>
      </w:pPr>
      <w:r>
        <w:t xml:space="preserve">3SG- </w:t>
      </w:r>
      <w:proofErr w:type="spellStart"/>
      <w:r>
        <w:t>IMPFlift</w:t>
      </w:r>
      <w:proofErr w:type="spellEnd"/>
      <w:r>
        <w:t xml:space="preserve"> </w:t>
      </w:r>
      <w:r>
        <w:tab/>
        <w:t xml:space="preserve">box </w:t>
      </w:r>
      <w:r>
        <w:tab/>
        <w:t xml:space="preserve">DET </w:t>
      </w:r>
      <w:r>
        <w:tab/>
        <w:t xml:space="preserve">OBJ-put </w:t>
      </w:r>
      <w:r>
        <w:tab/>
      </w:r>
      <w:commentRangeStart w:id="12"/>
      <w:proofErr w:type="spellStart"/>
      <w:r>
        <w:t>PPdown</w:t>
      </w:r>
      <w:commentRangeEnd w:id="12"/>
      <w:proofErr w:type="spellEnd"/>
      <w:r w:rsidR="00182436">
        <w:rPr>
          <w:rStyle w:val="CommentReference"/>
        </w:rPr>
        <w:commentReference w:id="12"/>
      </w:r>
    </w:p>
    <w:p w14:paraId="60503BB2" w14:textId="77777777" w:rsidR="0049404C" w:rsidRDefault="0049404C" w:rsidP="00AE43B1">
      <w:pPr>
        <w:spacing w:after="42"/>
        <w:ind w:left="0" w:right="1022" w:firstLine="0"/>
      </w:pPr>
    </w:p>
    <w:p w14:paraId="010F114E" w14:textId="77777777" w:rsidR="0049404C" w:rsidRDefault="00DF61EA" w:rsidP="00AE43B1">
      <w:pPr>
        <w:tabs>
          <w:tab w:val="center" w:pos="1188"/>
          <w:tab w:val="center" w:pos="3401"/>
        </w:tabs>
        <w:spacing w:after="138"/>
        <w:ind w:left="-15" w:firstLine="0"/>
      </w:pPr>
      <w:r>
        <w:t>‘He took the box and put it down’</w:t>
      </w:r>
    </w:p>
    <w:p w14:paraId="3A17978E" w14:textId="77777777" w:rsidR="0049404C" w:rsidRDefault="00DF61EA" w:rsidP="00AE43B1">
      <w:pPr>
        <w:spacing w:after="164" w:line="240" w:lineRule="auto"/>
        <w:ind w:left="-5"/>
      </w:pPr>
      <w:r>
        <w:t xml:space="preserve">From sentence 3a, which is an example of a </w:t>
      </w:r>
      <w:proofErr w:type="spellStart"/>
      <w:r>
        <w:t>resumptive</w:t>
      </w:r>
      <w:proofErr w:type="spellEnd"/>
      <w:r>
        <w:t xml:space="preserve"> serial construction, we see the introduction of the third person singular pronominal before</w:t>
      </w:r>
      <w:r>
        <w:rPr>
          <w:b/>
        </w:rPr>
        <w:t xml:space="preserve"> kԑ</w:t>
      </w:r>
      <w:r>
        <w:t xml:space="preserve"> but is omitted in example 3b. Both sentences are considered grammatical in Ga and follow the definitions of serial verb constructions</w:t>
      </w:r>
    </w:p>
    <w:p w14:paraId="361E0199" w14:textId="77777777" w:rsidR="0049404C" w:rsidRDefault="00DF61EA" w:rsidP="00AE43B1">
      <w:pPr>
        <w:numPr>
          <w:ilvl w:val="1"/>
          <w:numId w:val="3"/>
        </w:numPr>
        <w:spacing w:after="404" w:line="265" w:lineRule="auto"/>
        <w:ind w:hanging="360"/>
      </w:pPr>
      <w:r>
        <w:rPr>
          <w:b/>
        </w:rPr>
        <w:t>Constraints to SVCs in Ga:</w:t>
      </w:r>
    </w:p>
    <w:p w14:paraId="383015D0" w14:textId="77777777" w:rsidR="0049404C" w:rsidRDefault="00DF61EA" w:rsidP="00AE43B1">
      <w:pPr>
        <w:numPr>
          <w:ilvl w:val="1"/>
          <w:numId w:val="3"/>
        </w:numPr>
        <w:spacing w:after="404" w:line="265" w:lineRule="auto"/>
        <w:ind w:hanging="360"/>
      </w:pPr>
      <w:r>
        <w:rPr>
          <w:b/>
        </w:rPr>
        <w:t>Single Subject Constraint:</w:t>
      </w:r>
    </w:p>
    <w:p w14:paraId="27C18E20" w14:textId="77777777" w:rsidR="0049404C" w:rsidRDefault="00DF61EA" w:rsidP="00AE43B1">
      <w:pPr>
        <w:spacing w:after="252" w:line="240" w:lineRule="auto"/>
        <w:ind w:left="-5"/>
      </w:pPr>
      <w:proofErr w:type="spellStart"/>
      <w:r>
        <w:t>Osam</w:t>
      </w:r>
      <w:proofErr w:type="spellEnd"/>
      <w:r>
        <w:t xml:space="preserve"> (2004:37) notes that in Akan serialization, there is usually a single subject NP occurring either as a full NP or pronominal marking on the initial verb in the series. This is also referred to as the Single Marking Constraint. In Ga, when the subject of the SVC is a lexical noun, the second verb cannot be marked for a lexical noun subject, but it may be marked for a pronoun subject.</w:t>
      </w:r>
    </w:p>
    <w:p w14:paraId="477638FE" w14:textId="77777777" w:rsidR="00947763" w:rsidRDefault="00947763" w:rsidP="00AE43B1">
      <w:pPr>
        <w:spacing w:after="160"/>
        <w:ind w:left="0" w:firstLine="0"/>
      </w:pPr>
      <w:r>
        <w:br w:type="page"/>
      </w:r>
    </w:p>
    <w:p w14:paraId="1D753A2C" w14:textId="77777777" w:rsidR="00947763" w:rsidRDefault="00947763" w:rsidP="00AE43B1">
      <w:pPr>
        <w:spacing w:after="252" w:line="240" w:lineRule="auto"/>
        <w:ind w:left="-5"/>
      </w:pPr>
    </w:p>
    <w:p w14:paraId="354571EB" w14:textId="77777777" w:rsidR="00947763" w:rsidRDefault="00DF61EA" w:rsidP="00AE43B1">
      <w:pPr>
        <w:ind w:left="-5" w:right="443"/>
      </w:pPr>
      <w:r>
        <w:t>However, when the subject is a pronoun, the pronoun must be marked on the second verb:</w:t>
      </w:r>
    </w:p>
    <w:p w14:paraId="4430063C" w14:textId="77777777" w:rsidR="0049404C" w:rsidRDefault="00DF61EA" w:rsidP="00AE43B1">
      <w:pPr>
        <w:ind w:left="-5" w:right="443"/>
      </w:pPr>
      <w:r>
        <w:t>5)</w:t>
      </w:r>
    </w:p>
    <w:tbl>
      <w:tblPr>
        <w:tblStyle w:val="TableGrid"/>
        <w:tblW w:w="8349" w:type="dxa"/>
        <w:tblInd w:w="626" w:type="dxa"/>
        <w:tblCellMar>
          <w:top w:w="14" w:type="dxa"/>
        </w:tblCellMar>
        <w:tblLook w:val="04A0" w:firstRow="1" w:lastRow="0" w:firstColumn="1" w:lastColumn="0" w:noHBand="0" w:noVBand="1"/>
      </w:tblPr>
      <w:tblGrid>
        <w:gridCol w:w="541"/>
        <w:gridCol w:w="2986"/>
        <w:gridCol w:w="1145"/>
        <w:gridCol w:w="1915"/>
        <w:gridCol w:w="1762"/>
      </w:tblGrid>
      <w:tr w:rsidR="0049404C" w14:paraId="5C10A62C" w14:textId="77777777">
        <w:trPr>
          <w:trHeight w:val="556"/>
        </w:trPr>
        <w:tc>
          <w:tcPr>
            <w:tcW w:w="540" w:type="dxa"/>
            <w:vMerge w:val="restart"/>
            <w:tcBorders>
              <w:top w:val="nil"/>
              <w:left w:val="nil"/>
              <w:bottom w:val="nil"/>
              <w:right w:val="nil"/>
            </w:tcBorders>
          </w:tcPr>
          <w:p w14:paraId="016BF8AD" w14:textId="77777777" w:rsidR="0049404C" w:rsidRDefault="00DF61EA" w:rsidP="00AE43B1">
            <w:pPr>
              <w:spacing w:after="35"/>
              <w:ind w:left="0" w:firstLine="0"/>
            </w:pPr>
            <w:r>
              <w:rPr>
                <w:vertAlign w:val="superscript"/>
              </w:rPr>
              <w:footnoteReference w:id="1"/>
            </w:r>
            <w:r>
              <w:t>a.</w:t>
            </w:r>
          </w:p>
          <w:p w14:paraId="262FC643" w14:textId="77777777" w:rsidR="0049404C" w:rsidRDefault="0049404C" w:rsidP="00AE43B1">
            <w:pPr>
              <w:spacing w:after="0"/>
              <w:ind w:left="14" w:firstLine="0"/>
            </w:pPr>
          </w:p>
          <w:p w14:paraId="11D5C1C6" w14:textId="77777777" w:rsidR="0049404C" w:rsidRDefault="0049404C" w:rsidP="00AE43B1">
            <w:pPr>
              <w:spacing w:after="28"/>
              <w:ind w:left="14" w:firstLine="0"/>
            </w:pPr>
          </w:p>
          <w:p w14:paraId="50778835" w14:textId="77777777" w:rsidR="0049404C" w:rsidRDefault="00DF61EA" w:rsidP="00AE43B1">
            <w:pPr>
              <w:spacing w:after="0"/>
              <w:ind w:firstLine="0"/>
            </w:pPr>
            <w:r>
              <w:t>b.</w:t>
            </w:r>
          </w:p>
          <w:p w14:paraId="14B12F16" w14:textId="77777777" w:rsidR="0049404C" w:rsidRDefault="0049404C" w:rsidP="00AE43B1">
            <w:pPr>
              <w:spacing w:after="0"/>
              <w:ind w:firstLine="0"/>
            </w:pPr>
          </w:p>
          <w:p w14:paraId="6C682845" w14:textId="77777777" w:rsidR="0049404C" w:rsidRDefault="0049404C" w:rsidP="00AE43B1">
            <w:pPr>
              <w:spacing w:after="168"/>
              <w:ind w:firstLine="0"/>
            </w:pPr>
          </w:p>
          <w:p w14:paraId="72DDD1A1" w14:textId="77777777" w:rsidR="0049404C" w:rsidRDefault="00DF61EA" w:rsidP="00AE43B1">
            <w:pPr>
              <w:spacing w:after="0"/>
              <w:ind w:left="14" w:firstLine="0"/>
            </w:pPr>
            <w:r>
              <w:t>*c.</w:t>
            </w:r>
          </w:p>
          <w:p w14:paraId="42C0035A" w14:textId="77777777" w:rsidR="0049404C" w:rsidRDefault="0049404C" w:rsidP="00AE43B1">
            <w:pPr>
              <w:spacing w:after="0"/>
              <w:ind w:left="14" w:firstLine="0"/>
            </w:pPr>
          </w:p>
          <w:p w14:paraId="5B4D62E5" w14:textId="77777777" w:rsidR="0049404C" w:rsidRDefault="0049404C" w:rsidP="00AE43B1">
            <w:pPr>
              <w:spacing w:after="446"/>
              <w:ind w:left="14" w:firstLine="0"/>
            </w:pPr>
          </w:p>
          <w:p w14:paraId="42D7C4CE" w14:textId="77777777" w:rsidR="0049404C" w:rsidRDefault="00DF61EA" w:rsidP="00AE43B1">
            <w:pPr>
              <w:spacing w:after="0"/>
              <w:ind w:left="14" w:firstLine="0"/>
            </w:pPr>
            <w:r>
              <w:t>d.</w:t>
            </w:r>
          </w:p>
          <w:p w14:paraId="6AA5F5F7" w14:textId="77777777" w:rsidR="0049404C" w:rsidRDefault="0049404C" w:rsidP="00AE43B1">
            <w:pPr>
              <w:spacing w:after="0"/>
              <w:ind w:left="14" w:firstLine="0"/>
            </w:pPr>
          </w:p>
        </w:tc>
        <w:tc>
          <w:tcPr>
            <w:tcW w:w="2986" w:type="dxa"/>
            <w:vMerge w:val="restart"/>
            <w:tcBorders>
              <w:top w:val="nil"/>
              <w:left w:val="nil"/>
              <w:bottom w:val="nil"/>
              <w:right w:val="nil"/>
            </w:tcBorders>
          </w:tcPr>
          <w:p w14:paraId="7BD9EA7B" w14:textId="77777777" w:rsidR="0049404C" w:rsidRDefault="00DF61EA" w:rsidP="00AE43B1">
            <w:pPr>
              <w:tabs>
                <w:tab w:val="center" w:pos="1914"/>
              </w:tabs>
              <w:spacing w:after="1"/>
              <w:ind w:left="0" w:firstLine="0"/>
            </w:pPr>
            <w:r>
              <w:rPr>
                <w:sz w:val="22"/>
              </w:rPr>
              <w:t>Kofi</w:t>
            </w:r>
            <w:r>
              <w:t xml:space="preserve"> </w:t>
            </w:r>
            <w:r>
              <w:tab/>
            </w:r>
            <w:r>
              <w:rPr>
                <w:sz w:val="22"/>
              </w:rPr>
              <w:t>he</w:t>
            </w:r>
          </w:p>
          <w:p w14:paraId="72056425" w14:textId="77777777" w:rsidR="0049404C" w:rsidRDefault="00DF61EA" w:rsidP="00AE43B1">
            <w:pPr>
              <w:tabs>
                <w:tab w:val="center" w:pos="2192"/>
              </w:tabs>
              <w:spacing w:after="45"/>
              <w:ind w:left="0" w:firstLine="0"/>
            </w:pPr>
            <w:r>
              <w:rPr>
                <w:sz w:val="22"/>
              </w:rPr>
              <w:t>Kofi</w:t>
            </w:r>
            <w:r>
              <w:t xml:space="preserve"> </w:t>
            </w:r>
            <w:r>
              <w:tab/>
            </w:r>
            <w:r>
              <w:rPr>
                <w:sz w:val="22"/>
              </w:rPr>
              <w:t>buy.PST</w:t>
            </w:r>
          </w:p>
          <w:p w14:paraId="53DFDC32" w14:textId="77777777" w:rsidR="0049404C" w:rsidRDefault="00DF61EA" w:rsidP="00AE43B1">
            <w:pPr>
              <w:spacing w:after="47"/>
              <w:ind w:left="0" w:firstLine="0"/>
            </w:pPr>
            <w:r>
              <w:rPr>
                <w:sz w:val="22"/>
              </w:rPr>
              <w:t>‘Kofi believes the matter’</w:t>
            </w:r>
          </w:p>
          <w:p w14:paraId="4E0F54A3" w14:textId="77777777" w:rsidR="0049404C" w:rsidRDefault="00DF61EA" w:rsidP="00AE43B1">
            <w:pPr>
              <w:tabs>
                <w:tab w:val="center" w:pos="1516"/>
              </w:tabs>
              <w:spacing w:after="1"/>
              <w:ind w:left="0" w:firstLine="0"/>
            </w:pPr>
            <w:r>
              <w:rPr>
                <w:sz w:val="22"/>
              </w:rPr>
              <w:t>Kofi</w:t>
            </w:r>
            <w:r>
              <w:t xml:space="preserve"> </w:t>
            </w:r>
            <w:r>
              <w:tab/>
            </w:r>
            <w:r>
              <w:rPr>
                <w:sz w:val="22"/>
              </w:rPr>
              <w:t>he</w:t>
            </w:r>
          </w:p>
          <w:p w14:paraId="3D2ECF53" w14:textId="77777777" w:rsidR="0049404C" w:rsidRDefault="00DF61EA" w:rsidP="00AE43B1">
            <w:pPr>
              <w:tabs>
                <w:tab w:val="center" w:pos="1794"/>
              </w:tabs>
              <w:spacing w:after="6"/>
              <w:ind w:left="0" w:firstLine="0"/>
            </w:pPr>
            <w:r>
              <w:rPr>
                <w:sz w:val="22"/>
              </w:rPr>
              <w:t>Kofi</w:t>
            </w:r>
            <w:r>
              <w:t xml:space="preserve"> </w:t>
            </w:r>
            <w:r>
              <w:tab/>
            </w:r>
            <w:r>
              <w:rPr>
                <w:sz w:val="22"/>
              </w:rPr>
              <w:t>buy.PST</w:t>
            </w:r>
          </w:p>
          <w:p w14:paraId="47D48263" w14:textId="77777777" w:rsidR="0049404C" w:rsidRDefault="00DF61EA" w:rsidP="00AE43B1">
            <w:pPr>
              <w:spacing w:after="164"/>
              <w:ind w:firstLine="0"/>
            </w:pPr>
            <w:r>
              <w:t>‘Kofi believes the matter’</w:t>
            </w:r>
          </w:p>
          <w:p w14:paraId="3E9AE4A2" w14:textId="77777777" w:rsidR="0049404C" w:rsidRDefault="00DF61EA" w:rsidP="00AE43B1">
            <w:pPr>
              <w:tabs>
                <w:tab w:val="center" w:pos="1379"/>
              </w:tabs>
              <w:spacing w:after="1"/>
              <w:ind w:left="0" w:firstLine="0"/>
            </w:pPr>
            <w:r>
              <w:rPr>
                <w:sz w:val="22"/>
              </w:rPr>
              <w:t>E</w:t>
            </w:r>
            <w:r>
              <w:t xml:space="preserve"> </w:t>
            </w:r>
            <w:r>
              <w:tab/>
            </w:r>
            <w:r>
              <w:rPr>
                <w:sz w:val="22"/>
              </w:rPr>
              <w:t>he</w:t>
            </w:r>
          </w:p>
          <w:p w14:paraId="5741FE6E" w14:textId="77777777" w:rsidR="0049404C" w:rsidRDefault="00DF61EA" w:rsidP="00AE43B1">
            <w:pPr>
              <w:tabs>
                <w:tab w:val="center" w:pos="1657"/>
              </w:tabs>
              <w:spacing w:after="3"/>
              <w:ind w:left="0" w:firstLine="0"/>
            </w:pPr>
            <w:r>
              <w:rPr>
                <w:sz w:val="22"/>
              </w:rPr>
              <w:t>3SG.</w:t>
            </w:r>
            <w:r>
              <w:t xml:space="preserve"> </w:t>
            </w:r>
            <w:r>
              <w:tab/>
            </w:r>
            <w:r>
              <w:rPr>
                <w:sz w:val="22"/>
              </w:rPr>
              <w:t>buy.PST</w:t>
            </w:r>
          </w:p>
          <w:p w14:paraId="19CAAB2A" w14:textId="77777777" w:rsidR="0049404C" w:rsidRDefault="0049404C" w:rsidP="00AE43B1">
            <w:pPr>
              <w:spacing w:after="442"/>
              <w:ind w:left="14" w:firstLine="0"/>
            </w:pPr>
          </w:p>
          <w:p w14:paraId="0F151EA3" w14:textId="77777777" w:rsidR="0049404C" w:rsidRDefault="00DF61EA" w:rsidP="00AE43B1">
            <w:pPr>
              <w:tabs>
                <w:tab w:val="center" w:pos="1379"/>
              </w:tabs>
              <w:spacing w:after="1"/>
              <w:ind w:left="0" w:firstLine="0"/>
            </w:pPr>
            <w:r>
              <w:rPr>
                <w:sz w:val="22"/>
              </w:rPr>
              <w:t>E</w:t>
            </w:r>
            <w:r>
              <w:t xml:space="preserve"> </w:t>
            </w:r>
            <w:r>
              <w:tab/>
            </w:r>
            <w:r>
              <w:rPr>
                <w:sz w:val="22"/>
              </w:rPr>
              <w:t>he</w:t>
            </w:r>
          </w:p>
          <w:p w14:paraId="3845056B" w14:textId="77777777" w:rsidR="0049404C" w:rsidRDefault="00DF61EA" w:rsidP="00AE43B1">
            <w:pPr>
              <w:tabs>
                <w:tab w:val="center" w:pos="1657"/>
              </w:tabs>
              <w:spacing w:after="0"/>
              <w:ind w:left="0" w:firstLine="0"/>
            </w:pPr>
            <w:r>
              <w:rPr>
                <w:sz w:val="22"/>
              </w:rPr>
              <w:t>3SG.</w:t>
            </w:r>
            <w:r>
              <w:t xml:space="preserve"> </w:t>
            </w:r>
            <w:r>
              <w:tab/>
            </w:r>
            <w:r>
              <w:rPr>
                <w:sz w:val="22"/>
              </w:rPr>
              <w:t>buy.PST</w:t>
            </w:r>
          </w:p>
        </w:tc>
        <w:tc>
          <w:tcPr>
            <w:tcW w:w="3060" w:type="dxa"/>
            <w:gridSpan w:val="2"/>
            <w:tcBorders>
              <w:top w:val="nil"/>
              <w:left w:val="nil"/>
              <w:bottom w:val="nil"/>
              <w:right w:val="nil"/>
            </w:tcBorders>
          </w:tcPr>
          <w:p w14:paraId="4AEDA82C" w14:textId="77777777" w:rsidR="0049404C" w:rsidRDefault="00DF61EA" w:rsidP="00AE43B1">
            <w:pPr>
              <w:spacing w:after="0"/>
              <w:ind w:left="636" w:right="606" w:firstLine="0"/>
            </w:pPr>
            <w:r>
              <w:rPr>
                <w:sz w:val="22"/>
              </w:rPr>
              <w:t>sane</w:t>
            </w:r>
            <w:r>
              <w:t xml:space="preserve"> </w:t>
            </w:r>
            <w:proofErr w:type="spellStart"/>
            <w:r>
              <w:rPr>
                <w:sz w:val="22"/>
              </w:rPr>
              <w:t>lɛ</w:t>
            </w:r>
            <w:proofErr w:type="spellEnd"/>
            <w:r>
              <w:t xml:space="preserve"> </w:t>
            </w:r>
            <w:r>
              <w:rPr>
                <w:sz w:val="22"/>
              </w:rPr>
              <w:t>matter</w:t>
            </w:r>
            <w:r>
              <w:t xml:space="preserve"> </w:t>
            </w:r>
            <w:r>
              <w:rPr>
                <w:sz w:val="22"/>
              </w:rPr>
              <w:t>DET</w:t>
            </w:r>
          </w:p>
        </w:tc>
        <w:tc>
          <w:tcPr>
            <w:tcW w:w="1762" w:type="dxa"/>
            <w:vMerge w:val="restart"/>
            <w:tcBorders>
              <w:top w:val="nil"/>
              <w:left w:val="nil"/>
              <w:bottom w:val="nil"/>
              <w:right w:val="nil"/>
            </w:tcBorders>
          </w:tcPr>
          <w:p w14:paraId="1A5972B5" w14:textId="77777777" w:rsidR="0049404C" w:rsidRDefault="00DF61EA" w:rsidP="00AE43B1">
            <w:pPr>
              <w:spacing w:after="366" w:line="262" w:lineRule="auto"/>
              <w:ind w:left="533" w:right="269" w:firstLine="0"/>
            </w:pPr>
            <w:r>
              <w:rPr>
                <w:sz w:val="22"/>
              </w:rPr>
              <w:t>ye</w:t>
            </w:r>
            <w:r>
              <w:t xml:space="preserve"> </w:t>
            </w:r>
            <w:r>
              <w:rPr>
                <w:sz w:val="22"/>
              </w:rPr>
              <w:t>eat.PST</w:t>
            </w:r>
          </w:p>
          <w:p w14:paraId="7492519B" w14:textId="77777777" w:rsidR="0049404C" w:rsidRDefault="00DF61EA" w:rsidP="00AE43B1">
            <w:pPr>
              <w:tabs>
                <w:tab w:val="center" w:pos="1575"/>
              </w:tabs>
              <w:spacing w:after="0"/>
              <w:ind w:left="0" w:firstLine="0"/>
            </w:pPr>
            <w:r>
              <w:rPr>
                <w:sz w:val="22"/>
              </w:rPr>
              <w:t>e-ye</w:t>
            </w:r>
          </w:p>
          <w:p w14:paraId="2C51AEEE" w14:textId="77777777" w:rsidR="0049404C" w:rsidRDefault="00DF61EA" w:rsidP="00AE43B1">
            <w:pPr>
              <w:spacing w:after="0"/>
              <w:ind w:left="134" w:firstLine="0"/>
            </w:pPr>
            <w:r>
              <w:rPr>
                <w:sz w:val="22"/>
              </w:rPr>
              <w:t>3SG.eat.PST</w:t>
            </w:r>
          </w:p>
          <w:p w14:paraId="54B0B19B" w14:textId="77777777" w:rsidR="0049404C" w:rsidRDefault="0049404C" w:rsidP="00AE43B1">
            <w:pPr>
              <w:spacing w:after="159"/>
              <w:ind w:left="0" w:right="77" w:firstLine="0"/>
            </w:pPr>
          </w:p>
          <w:p w14:paraId="199A7CA6" w14:textId="77777777" w:rsidR="0049404C" w:rsidRDefault="0049404C" w:rsidP="00AE43B1">
            <w:pPr>
              <w:spacing w:after="0"/>
              <w:ind w:left="0" w:right="185" w:firstLine="0"/>
            </w:pPr>
          </w:p>
          <w:p w14:paraId="56ACB103" w14:textId="77777777" w:rsidR="0049404C" w:rsidRDefault="00DF61EA" w:rsidP="00AE43B1">
            <w:pPr>
              <w:spacing w:after="0"/>
              <w:ind w:left="0" w:firstLine="0"/>
            </w:pPr>
            <w:r>
              <w:rPr>
                <w:sz w:val="22"/>
              </w:rPr>
              <w:t>ye</w:t>
            </w:r>
          </w:p>
          <w:p w14:paraId="3A0FAF95" w14:textId="77777777" w:rsidR="0049404C" w:rsidRDefault="00DF61EA" w:rsidP="00AE43B1">
            <w:pPr>
              <w:tabs>
                <w:tab w:val="center" w:pos="1522"/>
              </w:tabs>
              <w:spacing w:after="126"/>
              <w:ind w:left="0" w:firstLine="0"/>
            </w:pPr>
            <w:r>
              <w:rPr>
                <w:sz w:val="22"/>
              </w:rPr>
              <w:t>eat.PST</w:t>
            </w:r>
          </w:p>
          <w:p w14:paraId="06CFCBC3" w14:textId="77777777" w:rsidR="0049404C" w:rsidRDefault="0049404C" w:rsidP="00AE43B1">
            <w:pPr>
              <w:spacing w:after="158"/>
              <w:ind w:left="0" w:right="185" w:firstLine="0"/>
            </w:pPr>
          </w:p>
          <w:p w14:paraId="6CC8A924" w14:textId="77777777" w:rsidR="0049404C" w:rsidRDefault="0049404C" w:rsidP="00AE43B1">
            <w:pPr>
              <w:spacing w:after="0"/>
              <w:ind w:left="0" w:firstLine="0"/>
            </w:pPr>
          </w:p>
          <w:p w14:paraId="690DB7D9" w14:textId="77777777" w:rsidR="0049404C" w:rsidRDefault="00DF61EA" w:rsidP="00AE43B1">
            <w:pPr>
              <w:spacing w:after="0"/>
              <w:ind w:left="0" w:firstLine="0"/>
            </w:pPr>
            <w:r>
              <w:rPr>
                <w:sz w:val="22"/>
              </w:rPr>
              <w:t>e-ye</w:t>
            </w:r>
          </w:p>
          <w:p w14:paraId="4E52DDB7" w14:textId="77777777" w:rsidR="0049404C" w:rsidRDefault="00DF61EA" w:rsidP="00AE43B1">
            <w:pPr>
              <w:tabs>
                <w:tab w:val="center" w:pos="1707"/>
              </w:tabs>
              <w:spacing w:after="0"/>
              <w:ind w:left="0" w:firstLine="0"/>
            </w:pPr>
            <w:r>
              <w:rPr>
                <w:sz w:val="22"/>
              </w:rPr>
              <w:t>3SG-eat.PST</w:t>
            </w:r>
          </w:p>
        </w:tc>
      </w:tr>
      <w:tr w:rsidR="0049404C" w14:paraId="31CD7CAD" w14:textId="77777777">
        <w:trPr>
          <w:trHeight w:val="3203"/>
        </w:trPr>
        <w:tc>
          <w:tcPr>
            <w:tcW w:w="0" w:type="auto"/>
            <w:vMerge/>
            <w:tcBorders>
              <w:top w:val="nil"/>
              <w:left w:val="nil"/>
              <w:bottom w:val="nil"/>
              <w:right w:val="nil"/>
            </w:tcBorders>
          </w:tcPr>
          <w:p w14:paraId="05C3C705" w14:textId="77777777" w:rsidR="0049404C" w:rsidRDefault="0049404C" w:rsidP="00AE43B1">
            <w:pPr>
              <w:spacing w:after="160"/>
              <w:ind w:left="0" w:firstLine="0"/>
            </w:pPr>
          </w:p>
        </w:tc>
        <w:tc>
          <w:tcPr>
            <w:tcW w:w="0" w:type="auto"/>
            <w:vMerge/>
            <w:tcBorders>
              <w:top w:val="nil"/>
              <w:left w:val="nil"/>
              <w:bottom w:val="nil"/>
              <w:right w:val="nil"/>
            </w:tcBorders>
          </w:tcPr>
          <w:p w14:paraId="42B6C6E9" w14:textId="77777777" w:rsidR="0049404C" w:rsidRDefault="0049404C" w:rsidP="00AE43B1">
            <w:pPr>
              <w:spacing w:after="160"/>
              <w:ind w:left="0" w:firstLine="0"/>
            </w:pPr>
          </w:p>
        </w:tc>
        <w:tc>
          <w:tcPr>
            <w:tcW w:w="1145" w:type="dxa"/>
            <w:tcBorders>
              <w:top w:val="nil"/>
              <w:left w:val="nil"/>
              <w:bottom w:val="nil"/>
              <w:right w:val="nil"/>
            </w:tcBorders>
            <w:vAlign w:val="bottom"/>
          </w:tcPr>
          <w:p w14:paraId="78F9A60B" w14:textId="77777777" w:rsidR="0049404C" w:rsidRDefault="00DF61EA" w:rsidP="00AE43B1">
            <w:pPr>
              <w:spacing w:after="468" w:line="255" w:lineRule="auto"/>
              <w:ind w:left="238" w:firstLine="0"/>
            </w:pPr>
            <w:r>
              <w:rPr>
                <w:sz w:val="22"/>
              </w:rPr>
              <w:t>sane</w:t>
            </w:r>
            <w:r>
              <w:t xml:space="preserve"> </w:t>
            </w:r>
            <w:r>
              <w:rPr>
                <w:sz w:val="22"/>
              </w:rPr>
              <w:t>matter</w:t>
            </w:r>
          </w:p>
          <w:p w14:paraId="1C63E630" w14:textId="77777777" w:rsidR="0049404C" w:rsidRDefault="00DF61EA" w:rsidP="00AE43B1">
            <w:pPr>
              <w:spacing w:after="746" w:line="255" w:lineRule="auto"/>
              <w:ind w:left="101" w:right="31" w:firstLine="0"/>
            </w:pPr>
            <w:r>
              <w:rPr>
                <w:sz w:val="22"/>
              </w:rPr>
              <w:t>sane</w:t>
            </w:r>
            <w:r>
              <w:t xml:space="preserve"> </w:t>
            </w:r>
            <w:r>
              <w:rPr>
                <w:sz w:val="22"/>
              </w:rPr>
              <w:t>matter</w:t>
            </w:r>
          </w:p>
          <w:p w14:paraId="3F829262" w14:textId="77777777" w:rsidR="0049404C" w:rsidRDefault="00DF61EA" w:rsidP="00AE43B1">
            <w:pPr>
              <w:spacing w:after="0"/>
              <w:ind w:left="0" w:right="132" w:firstLine="0"/>
            </w:pPr>
            <w:r>
              <w:rPr>
                <w:sz w:val="22"/>
              </w:rPr>
              <w:t>sane</w:t>
            </w:r>
            <w:r>
              <w:t xml:space="preserve"> </w:t>
            </w:r>
            <w:r>
              <w:rPr>
                <w:sz w:val="22"/>
              </w:rPr>
              <w:t>matter</w:t>
            </w:r>
          </w:p>
        </w:tc>
        <w:tc>
          <w:tcPr>
            <w:tcW w:w="1915" w:type="dxa"/>
            <w:tcBorders>
              <w:top w:val="nil"/>
              <w:left w:val="nil"/>
              <w:bottom w:val="nil"/>
              <w:right w:val="nil"/>
            </w:tcBorders>
            <w:vAlign w:val="bottom"/>
          </w:tcPr>
          <w:p w14:paraId="0F36965E" w14:textId="77777777" w:rsidR="0049404C" w:rsidRDefault="00DF61EA" w:rsidP="00AE43B1">
            <w:pPr>
              <w:spacing w:after="0"/>
              <w:ind w:left="134" w:firstLine="0"/>
            </w:pPr>
            <w:proofErr w:type="spellStart"/>
            <w:r>
              <w:rPr>
                <w:sz w:val="22"/>
              </w:rPr>
              <w:t>lɛ</w:t>
            </w:r>
            <w:proofErr w:type="spellEnd"/>
          </w:p>
          <w:p w14:paraId="3C3342AE" w14:textId="77777777" w:rsidR="0049404C" w:rsidRDefault="00DF61EA" w:rsidP="00AE43B1">
            <w:pPr>
              <w:spacing w:after="479"/>
              <w:ind w:left="134" w:firstLine="0"/>
            </w:pPr>
            <w:r>
              <w:rPr>
                <w:sz w:val="22"/>
              </w:rPr>
              <w:t>DET</w:t>
            </w:r>
          </w:p>
          <w:p w14:paraId="1591DF56" w14:textId="77777777" w:rsidR="0049404C" w:rsidRDefault="00DF61EA" w:rsidP="00AE43B1">
            <w:pPr>
              <w:spacing w:after="0"/>
              <w:ind w:left="0" w:firstLine="0"/>
            </w:pPr>
            <w:proofErr w:type="spellStart"/>
            <w:r>
              <w:rPr>
                <w:sz w:val="22"/>
              </w:rPr>
              <w:t>lɛ</w:t>
            </w:r>
            <w:proofErr w:type="spellEnd"/>
          </w:p>
          <w:p w14:paraId="18319CB8" w14:textId="77777777" w:rsidR="0049404C" w:rsidRDefault="00DF61EA" w:rsidP="00AE43B1">
            <w:pPr>
              <w:spacing w:after="757"/>
              <w:ind w:left="0" w:firstLine="0"/>
            </w:pPr>
            <w:r>
              <w:rPr>
                <w:sz w:val="22"/>
              </w:rPr>
              <w:t>DET</w:t>
            </w:r>
          </w:p>
          <w:p w14:paraId="4255F458" w14:textId="77777777" w:rsidR="0049404C" w:rsidRDefault="00DF61EA" w:rsidP="00AE43B1">
            <w:pPr>
              <w:spacing w:after="0"/>
              <w:ind w:left="0" w:firstLine="0"/>
            </w:pPr>
            <w:proofErr w:type="spellStart"/>
            <w:r>
              <w:rPr>
                <w:sz w:val="22"/>
              </w:rPr>
              <w:t>lɛ</w:t>
            </w:r>
            <w:proofErr w:type="spellEnd"/>
          </w:p>
          <w:p w14:paraId="768BA1F7" w14:textId="77777777" w:rsidR="0049404C" w:rsidRDefault="00DF61EA" w:rsidP="00AE43B1">
            <w:pPr>
              <w:spacing w:after="0"/>
              <w:ind w:left="0" w:firstLine="0"/>
            </w:pPr>
            <w:r>
              <w:rPr>
                <w:sz w:val="22"/>
              </w:rPr>
              <w:t>DET</w:t>
            </w:r>
          </w:p>
        </w:tc>
        <w:tc>
          <w:tcPr>
            <w:tcW w:w="0" w:type="auto"/>
            <w:vMerge/>
            <w:tcBorders>
              <w:top w:val="nil"/>
              <w:left w:val="nil"/>
              <w:bottom w:val="nil"/>
              <w:right w:val="nil"/>
            </w:tcBorders>
          </w:tcPr>
          <w:p w14:paraId="65D1844D" w14:textId="77777777" w:rsidR="0049404C" w:rsidRDefault="0049404C" w:rsidP="00AE43B1">
            <w:pPr>
              <w:spacing w:after="160"/>
              <w:ind w:left="0" w:firstLine="0"/>
            </w:pPr>
          </w:p>
        </w:tc>
      </w:tr>
      <w:tr w:rsidR="0049404C" w14:paraId="4B2AE78D" w14:textId="77777777">
        <w:trPr>
          <w:trHeight w:val="279"/>
        </w:trPr>
        <w:tc>
          <w:tcPr>
            <w:tcW w:w="540" w:type="dxa"/>
            <w:tcBorders>
              <w:top w:val="nil"/>
              <w:left w:val="nil"/>
              <w:bottom w:val="nil"/>
              <w:right w:val="nil"/>
            </w:tcBorders>
          </w:tcPr>
          <w:p w14:paraId="3334D89B" w14:textId="77777777" w:rsidR="0049404C" w:rsidRDefault="0049404C" w:rsidP="00AE43B1">
            <w:pPr>
              <w:spacing w:after="0"/>
              <w:ind w:left="14" w:firstLine="0"/>
            </w:pPr>
          </w:p>
        </w:tc>
        <w:tc>
          <w:tcPr>
            <w:tcW w:w="2986" w:type="dxa"/>
            <w:tcBorders>
              <w:top w:val="nil"/>
              <w:left w:val="nil"/>
              <w:bottom w:val="nil"/>
              <w:right w:val="nil"/>
            </w:tcBorders>
          </w:tcPr>
          <w:p w14:paraId="0D669165" w14:textId="77777777" w:rsidR="0049404C" w:rsidRDefault="00DF61EA" w:rsidP="00AE43B1">
            <w:pPr>
              <w:spacing w:after="0"/>
              <w:ind w:left="14" w:firstLine="0"/>
            </w:pPr>
            <w:r>
              <w:rPr>
                <w:sz w:val="22"/>
              </w:rPr>
              <w:t>‘He believes the matter’</w:t>
            </w:r>
          </w:p>
        </w:tc>
        <w:tc>
          <w:tcPr>
            <w:tcW w:w="1145" w:type="dxa"/>
            <w:tcBorders>
              <w:top w:val="nil"/>
              <w:left w:val="nil"/>
              <w:bottom w:val="nil"/>
              <w:right w:val="nil"/>
            </w:tcBorders>
          </w:tcPr>
          <w:p w14:paraId="32E4966D" w14:textId="77777777" w:rsidR="0049404C" w:rsidRDefault="0049404C" w:rsidP="00AE43B1">
            <w:pPr>
              <w:spacing w:after="160"/>
              <w:ind w:left="0" w:firstLine="0"/>
            </w:pPr>
          </w:p>
        </w:tc>
        <w:tc>
          <w:tcPr>
            <w:tcW w:w="1915" w:type="dxa"/>
            <w:tcBorders>
              <w:top w:val="nil"/>
              <w:left w:val="nil"/>
              <w:bottom w:val="nil"/>
              <w:right w:val="nil"/>
            </w:tcBorders>
          </w:tcPr>
          <w:p w14:paraId="066B990F" w14:textId="77777777" w:rsidR="0049404C" w:rsidRDefault="0049404C" w:rsidP="00AE43B1">
            <w:pPr>
              <w:spacing w:after="160"/>
              <w:ind w:left="0" w:firstLine="0"/>
            </w:pPr>
          </w:p>
        </w:tc>
        <w:tc>
          <w:tcPr>
            <w:tcW w:w="1762" w:type="dxa"/>
            <w:tcBorders>
              <w:top w:val="nil"/>
              <w:left w:val="nil"/>
              <w:bottom w:val="nil"/>
              <w:right w:val="nil"/>
            </w:tcBorders>
          </w:tcPr>
          <w:p w14:paraId="68DB9689" w14:textId="77777777" w:rsidR="0049404C" w:rsidRDefault="0049404C" w:rsidP="00AE43B1">
            <w:pPr>
              <w:spacing w:after="160"/>
              <w:ind w:left="0" w:firstLine="0"/>
            </w:pPr>
          </w:p>
        </w:tc>
      </w:tr>
    </w:tbl>
    <w:p w14:paraId="4801E7A3" w14:textId="77777777" w:rsidR="0049404C" w:rsidRDefault="00DF61EA" w:rsidP="00AE43B1">
      <w:pPr>
        <w:spacing w:after="165" w:line="240" w:lineRule="auto"/>
        <w:ind w:left="-5"/>
      </w:pPr>
      <w:r>
        <w:rPr>
          <w:b/>
        </w:rPr>
        <w:t>He</w:t>
      </w:r>
      <w:r>
        <w:t xml:space="preserve">(buy) and </w:t>
      </w:r>
      <w:r>
        <w:rPr>
          <w:b/>
        </w:rPr>
        <w:t>ye</w:t>
      </w:r>
      <w:r>
        <w:t xml:space="preserve"> (eat) come together as a serial verb construct to express the single event of belief. </w:t>
      </w:r>
      <w:commentRangeStart w:id="13"/>
      <w:r>
        <w:t>(5c) is ungrammatical because it defies the subject marking constraint</w:t>
      </w:r>
      <w:commentRangeEnd w:id="13"/>
      <w:r w:rsidR="00D56341">
        <w:rPr>
          <w:rStyle w:val="CommentReference"/>
        </w:rPr>
        <w:commentReference w:id="13"/>
      </w:r>
      <w:r>
        <w:t>. The subject pronoun fails to be marked on the second verb.</w:t>
      </w:r>
    </w:p>
    <w:p w14:paraId="0C2022C6" w14:textId="77777777" w:rsidR="00947763" w:rsidRDefault="00947763" w:rsidP="00AE43B1">
      <w:pPr>
        <w:spacing w:after="165" w:line="240" w:lineRule="auto"/>
        <w:ind w:left="-5"/>
      </w:pPr>
    </w:p>
    <w:p w14:paraId="47E2AF24" w14:textId="77777777" w:rsidR="0049404C" w:rsidRDefault="00DF61EA" w:rsidP="00AE43B1">
      <w:pPr>
        <w:spacing w:after="404" w:line="265" w:lineRule="auto"/>
        <w:ind w:left="-5"/>
      </w:pPr>
      <w:r>
        <w:rPr>
          <w:b/>
        </w:rPr>
        <w:t>2.2. Shared Tense/Aspect, Mood, Modality, And Polarity Value Constraint:</w:t>
      </w:r>
    </w:p>
    <w:p w14:paraId="5E65CE2B" w14:textId="77777777" w:rsidR="0049404C" w:rsidRDefault="00DF61EA" w:rsidP="00AE43B1">
      <w:pPr>
        <w:spacing w:after="152" w:line="240" w:lineRule="auto"/>
        <w:ind w:left="-5"/>
      </w:pPr>
      <w:r>
        <w:t xml:space="preserve">Following </w:t>
      </w:r>
      <w:proofErr w:type="spellStart"/>
      <w:r>
        <w:t>Aikhenvald</w:t>
      </w:r>
      <w:proofErr w:type="spellEnd"/>
      <w:r>
        <w:t xml:space="preserve"> (2006:33), SVCs “having shared tense, aspect, mood, modality, illocutionary force, and polarity values implies that no independent choice or contrast in any of these categories is possible for the individual components of an SVC…. A language may mark tense, aspect, mood, or evidentiality on every verb.”</w:t>
      </w:r>
    </w:p>
    <w:p w14:paraId="02A33C83" w14:textId="77777777" w:rsidR="0049404C" w:rsidRDefault="00DF61EA" w:rsidP="00AE43B1">
      <w:pPr>
        <w:spacing w:after="267" w:line="240" w:lineRule="auto"/>
        <w:ind w:left="-5"/>
      </w:pPr>
      <w:r>
        <w:t>What this means for Ga is that the inflectional marking on the first verb must be repeated on all the verbs in the SVC. We see this constraint evident in all the Ga examples in (1), (2) and (5). The exception however is apparent with verbs which carry the future tense. When the first verb is future, the second verb takes a subjunctive marker. The sentence illustrates this:</w:t>
      </w:r>
    </w:p>
    <w:tbl>
      <w:tblPr>
        <w:tblStyle w:val="TableGrid"/>
        <w:tblW w:w="7166" w:type="dxa"/>
        <w:tblInd w:w="641" w:type="dxa"/>
        <w:tblLook w:val="04A0" w:firstRow="1" w:lastRow="0" w:firstColumn="1" w:lastColumn="0" w:noHBand="0" w:noVBand="1"/>
      </w:tblPr>
      <w:tblGrid>
        <w:gridCol w:w="4148"/>
        <w:gridCol w:w="1042"/>
        <w:gridCol w:w="1976"/>
      </w:tblGrid>
      <w:tr w:rsidR="0049404C" w14:paraId="3FFB468A" w14:textId="77777777">
        <w:trPr>
          <w:trHeight w:val="271"/>
        </w:trPr>
        <w:tc>
          <w:tcPr>
            <w:tcW w:w="4148" w:type="dxa"/>
            <w:tcBorders>
              <w:top w:val="nil"/>
              <w:left w:val="nil"/>
              <w:bottom w:val="nil"/>
              <w:right w:val="nil"/>
            </w:tcBorders>
          </w:tcPr>
          <w:p w14:paraId="4B552EDA" w14:textId="77777777" w:rsidR="0049404C" w:rsidRDefault="00DF61EA" w:rsidP="00AE43B1">
            <w:pPr>
              <w:tabs>
                <w:tab w:val="center" w:pos="745"/>
                <w:tab w:val="center" w:pos="2721"/>
              </w:tabs>
              <w:spacing w:after="0"/>
              <w:ind w:left="0" w:firstLine="0"/>
            </w:pPr>
            <w:r>
              <w:t xml:space="preserve">Kofi </w:t>
            </w:r>
            <w:r>
              <w:tab/>
              <w:t>baa-</w:t>
            </w:r>
            <w:proofErr w:type="spellStart"/>
            <w:r>
              <w:t>hoo</w:t>
            </w:r>
            <w:proofErr w:type="spellEnd"/>
          </w:p>
        </w:tc>
        <w:tc>
          <w:tcPr>
            <w:tcW w:w="1042" w:type="dxa"/>
            <w:tcBorders>
              <w:top w:val="nil"/>
              <w:left w:val="nil"/>
              <w:bottom w:val="nil"/>
              <w:right w:val="nil"/>
            </w:tcBorders>
          </w:tcPr>
          <w:p w14:paraId="1DF3430E" w14:textId="77777777" w:rsidR="0049404C" w:rsidRDefault="00DF61EA" w:rsidP="00AE43B1">
            <w:pPr>
              <w:spacing w:after="0"/>
              <w:ind w:left="0" w:firstLine="0"/>
            </w:pPr>
            <w:proofErr w:type="spellStart"/>
            <w:r>
              <w:t>niyenii</w:t>
            </w:r>
            <w:proofErr w:type="spellEnd"/>
          </w:p>
        </w:tc>
        <w:tc>
          <w:tcPr>
            <w:tcW w:w="1976" w:type="dxa"/>
            <w:tcBorders>
              <w:top w:val="nil"/>
              <w:left w:val="nil"/>
              <w:bottom w:val="nil"/>
              <w:right w:val="nil"/>
            </w:tcBorders>
          </w:tcPr>
          <w:p w14:paraId="1860431C" w14:textId="77777777" w:rsidR="0049404C" w:rsidRDefault="00DF61EA" w:rsidP="00AE43B1">
            <w:pPr>
              <w:tabs>
                <w:tab w:val="center" w:pos="1916"/>
              </w:tabs>
              <w:spacing w:after="0"/>
              <w:ind w:left="0" w:firstLine="0"/>
            </w:pPr>
            <w:r>
              <w:t>e-ye</w:t>
            </w:r>
          </w:p>
        </w:tc>
      </w:tr>
      <w:tr w:rsidR="0049404C" w14:paraId="4D0B8256" w14:textId="77777777">
        <w:trPr>
          <w:trHeight w:val="547"/>
        </w:trPr>
        <w:tc>
          <w:tcPr>
            <w:tcW w:w="4148" w:type="dxa"/>
            <w:tcBorders>
              <w:top w:val="nil"/>
              <w:left w:val="nil"/>
              <w:bottom w:val="nil"/>
              <w:right w:val="nil"/>
            </w:tcBorders>
          </w:tcPr>
          <w:p w14:paraId="25CDECE8" w14:textId="77777777" w:rsidR="0049404C" w:rsidRDefault="00DF61EA" w:rsidP="00AE43B1">
            <w:pPr>
              <w:tabs>
                <w:tab w:val="center" w:pos="745"/>
                <w:tab w:val="center" w:pos="2835"/>
              </w:tabs>
              <w:spacing w:after="28"/>
              <w:ind w:left="0" w:firstLine="0"/>
            </w:pPr>
            <w:r>
              <w:t xml:space="preserve">Kofi </w:t>
            </w:r>
            <w:r>
              <w:tab/>
              <w:t>FUT-cook</w:t>
            </w:r>
          </w:p>
          <w:p w14:paraId="680652C6" w14:textId="77777777" w:rsidR="0049404C" w:rsidRDefault="00DF61EA" w:rsidP="00AE43B1">
            <w:pPr>
              <w:tabs>
                <w:tab w:val="center" w:pos="1927"/>
              </w:tabs>
              <w:spacing w:after="0"/>
              <w:ind w:left="0" w:firstLine="0"/>
            </w:pPr>
            <w:r>
              <w:t>‘Kofi will cook food and eat’</w:t>
            </w:r>
          </w:p>
        </w:tc>
        <w:tc>
          <w:tcPr>
            <w:tcW w:w="1042" w:type="dxa"/>
            <w:tcBorders>
              <w:top w:val="nil"/>
              <w:left w:val="nil"/>
              <w:bottom w:val="nil"/>
              <w:right w:val="nil"/>
            </w:tcBorders>
          </w:tcPr>
          <w:p w14:paraId="55A2759B" w14:textId="77777777" w:rsidR="0049404C" w:rsidRDefault="00DF61EA" w:rsidP="00AE43B1">
            <w:pPr>
              <w:spacing w:after="0"/>
              <w:ind w:left="0" w:firstLine="0"/>
            </w:pPr>
            <w:r>
              <w:t>food</w:t>
            </w:r>
          </w:p>
        </w:tc>
        <w:tc>
          <w:tcPr>
            <w:tcW w:w="1976" w:type="dxa"/>
            <w:tcBorders>
              <w:top w:val="nil"/>
              <w:left w:val="nil"/>
              <w:bottom w:val="nil"/>
              <w:right w:val="nil"/>
            </w:tcBorders>
          </w:tcPr>
          <w:p w14:paraId="5486A8EE" w14:textId="77777777" w:rsidR="0049404C" w:rsidRDefault="00DF61EA" w:rsidP="00AE43B1">
            <w:pPr>
              <w:tabs>
                <w:tab w:val="center" w:pos="1916"/>
              </w:tabs>
              <w:spacing w:after="0"/>
              <w:ind w:left="0" w:firstLine="0"/>
            </w:pPr>
            <w:commentRangeStart w:id="14"/>
            <w:r>
              <w:t>3SG-SUBJ.eat</w:t>
            </w:r>
            <w:commentRangeEnd w:id="14"/>
            <w:r w:rsidR="00D56341">
              <w:rPr>
                <w:rStyle w:val="CommentReference"/>
              </w:rPr>
              <w:commentReference w:id="14"/>
            </w:r>
          </w:p>
        </w:tc>
      </w:tr>
    </w:tbl>
    <w:p w14:paraId="4D93E8D8" w14:textId="77777777" w:rsidR="0049404C" w:rsidRDefault="0049404C" w:rsidP="00AE43B1">
      <w:pPr>
        <w:spacing w:after="160"/>
        <w:ind w:left="0" w:firstLine="0"/>
      </w:pPr>
    </w:p>
    <w:p w14:paraId="3E588AE0" w14:textId="77777777" w:rsidR="00947763" w:rsidRDefault="00947763" w:rsidP="00AE43B1">
      <w:pPr>
        <w:spacing w:after="160"/>
        <w:ind w:left="0" w:firstLine="0"/>
        <w:rPr>
          <w:b/>
        </w:rPr>
      </w:pPr>
      <w:r>
        <w:rPr>
          <w:b/>
        </w:rPr>
        <w:br w:type="page"/>
      </w:r>
    </w:p>
    <w:p w14:paraId="65D47622" w14:textId="77777777" w:rsidR="0049404C" w:rsidRDefault="00E41FF6" w:rsidP="00AE43B1">
      <w:pPr>
        <w:spacing w:after="404" w:line="265" w:lineRule="auto"/>
        <w:ind w:left="-5"/>
      </w:pPr>
      <w:r>
        <w:rPr>
          <w:b/>
        </w:rPr>
        <w:lastRenderedPageBreak/>
        <w:t xml:space="preserve">2.3 </w:t>
      </w:r>
      <w:r w:rsidR="00DF61EA">
        <w:rPr>
          <w:b/>
        </w:rPr>
        <w:t>The Conjunction constraint:</w:t>
      </w:r>
    </w:p>
    <w:p w14:paraId="22C4F07D" w14:textId="77777777" w:rsidR="0049404C" w:rsidRDefault="00DF61EA" w:rsidP="00AE43B1">
      <w:pPr>
        <w:spacing w:after="161" w:line="240" w:lineRule="auto"/>
        <w:ind w:left="-5"/>
      </w:pPr>
      <w:r>
        <w:t xml:space="preserve">Discussing the term conjunctions, we include pauses, coordinators or any linguistic item that connects or conjoins the verb phrases in the SVC. The conjunction constraint states that: If a construction y is a </w:t>
      </w:r>
      <w:r w:rsidR="00947763">
        <w:t>well-formed</w:t>
      </w:r>
      <w:r>
        <w:t xml:space="preserve"> SVC, then there exists no connector c such that c intervenes between the row of verbs in y. (Bodomo1993:44) The conjunction constraint shows an important distinction between SVC and coordinated sentences, especially with the interpretation of the verbs in the SVC as representing a unitary event.</w:t>
      </w:r>
    </w:p>
    <w:p w14:paraId="784AA1BB" w14:textId="77777777" w:rsidR="0049404C" w:rsidRDefault="00DF61EA" w:rsidP="00AE43B1">
      <w:pPr>
        <w:ind w:left="-5"/>
      </w:pPr>
      <w:r>
        <w:t>7)</w:t>
      </w:r>
    </w:p>
    <w:tbl>
      <w:tblPr>
        <w:tblStyle w:val="TableGrid"/>
        <w:tblW w:w="8862" w:type="dxa"/>
        <w:tblInd w:w="662" w:type="dxa"/>
        <w:tblLook w:val="04A0" w:firstRow="1" w:lastRow="0" w:firstColumn="1" w:lastColumn="0" w:noHBand="0" w:noVBand="1"/>
      </w:tblPr>
      <w:tblGrid>
        <w:gridCol w:w="1907"/>
        <w:gridCol w:w="1882"/>
        <w:gridCol w:w="1174"/>
        <w:gridCol w:w="1337"/>
        <w:gridCol w:w="1261"/>
        <w:gridCol w:w="1301"/>
      </w:tblGrid>
      <w:tr w:rsidR="0049404C" w14:paraId="2FEAEE1B" w14:textId="77777777">
        <w:trPr>
          <w:trHeight w:val="409"/>
        </w:trPr>
        <w:tc>
          <w:tcPr>
            <w:tcW w:w="1909" w:type="dxa"/>
            <w:tcBorders>
              <w:top w:val="nil"/>
              <w:left w:val="nil"/>
              <w:bottom w:val="nil"/>
              <w:right w:val="nil"/>
            </w:tcBorders>
          </w:tcPr>
          <w:p w14:paraId="622B7738" w14:textId="77777777" w:rsidR="0049404C" w:rsidRDefault="00DF61EA" w:rsidP="00AE43B1">
            <w:pPr>
              <w:tabs>
                <w:tab w:val="center" w:pos="719"/>
              </w:tabs>
              <w:spacing w:after="0"/>
              <w:ind w:left="0" w:firstLine="0"/>
            </w:pPr>
            <w:r>
              <w:t>Kofi</w:t>
            </w:r>
          </w:p>
        </w:tc>
        <w:tc>
          <w:tcPr>
            <w:tcW w:w="1882" w:type="dxa"/>
            <w:tcBorders>
              <w:top w:val="nil"/>
              <w:left w:val="nil"/>
              <w:bottom w:val="nil"/>
              <w:right w:val="nil"/>
            </w:tcBorders>
          </w:tcPr>
          <w:p w14:paraId="38899BF3" w14:textId="77777777" w:rsidR="0049404C" w:rsidRDefault="00DF61EA" w:rsidP="00AE43B1">
            <w:pPr>
              <w:spacing w:after="0"/>
              <w:ind w:left="298" w:firstLine="0"/>
            </w:pPr>
            <w:r>
              <w:t>he</w:t>
            </w:r>
          </w:p>
        </w:tc>
        <w:tc>
          <w:tcPr>
            <w:tcW w:w="1174" w:type="dxa"/>
            <w:tcBorders>
              <w:top w:val="nil"/>
              <w:left w:val="nil"/>
              <w:bottom w:val="nil"/>
              <w:right w:val="nil"/>
            </w:tcBorders>
          </w:tcPr>
          <w:p w14:paraId="123095BE" w14:textId="77777777" w:rsidR="0049404C" w:rsidRDefault="00DF61EA" w:rsidP="00AE43B1">
            <w:pPr>
              <w:spacing w:after="0"/>
              <w:ind w:left="154" w:firstLine="0"/>
            </w:pPr>
            <w:r>
              <w:t>sane</w:t>
            </w:r>
          </w:p>
        </w:tc>
        <w:tc>
          <w:tcPr>
            <w:tcW w:w="1337" w:type="dxa"/>
            <w:tcBorders>
              <w:top w:val="nil"/>
              <w:left w:val="nil"/>
              <w:bottom w:val="nil"/>
              <w:right w:val="nil"/>
            </w:tcBorders>
          </w:tcPr>
          <w:p w14:paraId="6CED530B" w14:textId="77777777" w:rsidR="0049404C" w:rsidRDefault="00DF61EA" w:rsidP="00AE43B1">
            <w:pPr>
              <w:spacing w:after="0"/>
              <w:ind w:left="0" w:firstLine="0"/>
            </w:pPr>
            <w:proofErr w:type="spellStart"/>
            <w:r>
              <w:t>lɛ</w:t>
            </w:r>
            <w:proofErr w:type="spellEnd"/>
          </w:p>
        </w:tc>
        <w:tc>
          <w:tcPr>
            <w:tcW w:w="1261" w:type="dxa"/>
            <w:tcBorders>
              <w:top w:val="nil"/>
              <w:left w:val="nil"/>
              <w:bottom w:val="nil"/>
              <w:right w:val="nil"/>
            </w:tcBorders>
          </w:tcPr>
          <w:p w14:paraId="6797AF9A" w14:textId="77777777" w:rsidR="0049404C" w:rsidRDefault="00DF61EA" w:rsidP="00AE43B1">
            <w:pPr>
              <w:spacing w:after="0"/>
              <w:ind w:left="0" w:firstLine="0"/>
            </w:pPr>
            <w:proofErr w:type="spellStart"/>
            <w:r>
              <w:t>ni</w:t>
            </w:r>
            <w:proofErr w:type="spellEnd"/>
          </w:p>
        </w:tc>
        <w:tc>
          <w:tcPr>
            <w:tcW w:w="1301" w:type="dxa"/>
            <w:tcBorders>
              <w:top w:val="nil"/>
              <w:left w:val="nil"/>
              <w:bottom w:val="nil"/>
              <w:right w:val="nil"/>
            </w:tcBorders>
          </w:tcPr>
          <w:p w14:paraId="41388248" w14:textId="77777777" w:rsidR="0049404C" w:rsidRDefault="00DF61EA" w:rsidP="00AE43B1">
            <w:pPr>
              <w:spacing w:after="0"/>
              <w:ind w:left="0" w:firstLine="0"/>
            </w:pPr>
            <w:r>
              <w:t>eye</w:t>
            </w:r>
          </w:p>
        </w:tc>
      </w:tr>
      <w:tr w:rsidR="0049404C" w14:paraId="7FF00270" w14:textId="77777777">
        <w:trPr>
          <w:trHeight w:val="409"/>
        </w:trPr>
        <w:tc>
          <w:tcPr>
            <w:tcW w:w="1909" w:type="dxa"/>
            <w:tcBorders>
              <w:top w:val="nil"/>
              <w:left w:val="nil"/>
              <w:bottom w:val="nil"/>
              <w:right w:val="nil"/>
            </w:tcBorders>
            <w:vAlign w:val="bottom"/>
          </w:tcPr>
          <w:p w14:paraId="62BD5580" w14:textId="77777777" w:rsidR="0049404C" w:rsidRDefault="00DF61EA" w:rsidP="00AE43B1">
            <w:pPr>
              <w:tabs>
                <w:tab w:val="center" w:pos="719"/>
              </w:tabs>
              <w:spacing w:after="0"/>
              <w:ind w:left="0" w:firstLine="0"/>
            </w:pPr>
            <w:r>
              <w:t>Kofi</w:t>
            </w:r>
          </w:p>
        </w:tc>
        <w:tc>
          <w:tcPr>
            <w:tcW w:w="1882" w:type="dxa"/>
            <w:tcBorders>
              <w:top w:val="nil"/>
              <w:left w:val="nil"/>
              <w:bottom w:val="nil"/>
              <w:right w:val="nil"/>
            </w:tcBorders>
            <w:vAlign w:val="bottom"/>
          </w:tcPr>
          <w:p w14:paraId="14860B96" w14:textId="77777777" w:rsidR="0049404C" w:rsidRDefault="00DF61EA" w:rsidP="00AE43B1">
            <w:pPr>
              <w:spacing w:after="0"/>
              <w:ind w:left="298" w:firstLine="0"/>
            </w:pPr>
            <w:r>
              <w:t>buy.PST</w:t>
            </w:r>
          </w:p>
        </w:tc>
        <w:tc>
          <w:tcPr>
            <w:tcW w:w="1174" w:type="dxa"/>
            <w:tcBorders>
              <w:top w:val="nil"/>
              <w:left w:val="nil"/>
              <w:bottom w:val="nil"/>
              <w:right w:val="nil"/>
            </w:tcBorders>
            <w:vAlign w:val="bottom"/>
          </w:tcPr>
          <w:p w14:paraId="7577252C" w14:textId="77777777" w:rsidR="0049404C" w:rsidRDefault="00DF61EA" w:rsidP="00AE43B1">
            <w:pPr>
              <w:spacing w:after="0"/>
              <w:ind w:left="154" w:firstLine="0"/>
            </w:pPr>
            <w:r>
              <w:t>matter</w:t>
            </w:r>
          </w:p>
        </w:tc>
        <w:tc>
          <w:tcPr>
            <w:tcW w:w="1337" w:type="dxa"/>
            <w:tcBorders>
              <w:top w:val="nil"/>
              <w:left w:val="nil"/>
              <w:bottom w:val="nil"/>
              <w:right w:val="nil"/>
            </w:tcBorders>
            <w:vAlign w:val="bottom"/>
          </w:tcPr>
          <w:p w14:paraId="76DA0536" w14:textId="77777777" w:rsidR="0049404C" w:rsidRDefault="00DF61EA" w:rsidP="00AE43B1">
            <w:pPr>
              <w:spacing w:after="0"/>
              <w:ind w:left="0" w:firstLine="0"/>
            </w:pPr>
            <w:r>
              <w:t>DET</w:t>
            </w:r>
          </w:p>
        </w:tc>
        <w:tc>
          <w:tcPr>
            <w:tcW w:w="1261" w:type="dxa"/>
            <w:tcBorders>
              <w:top w:val="nil"/>
              <w:left w:val="nil"/>
              <w:bottom w:val="nil"/>
              <w:right w:val="nil"/>
            </w:tcBorders>
            <w:vAlign w:val="bottom"/>
          </w:tcPr>
          <w:p w14:paraId="2506EF1E" w14:textId="77777777" w:rsidR="0049404C" w:rsidRDefault="00DF61EA" w:rsidP="00AE43B1">
            <w:pPr>
              <w:spacing w:after="0"/>
              <w:ind w:left="0" w:firstLine="0"/>
            </w:pPr>
            <w:r>
              <w:t>CONJ</w:t>
            </w:r>
          </w:p>
        </w:tc>
        <w:tc>
          <w:tcPr>
            <w:tcW w:w="1301" w:type="dxa"/>
            <w:tcBorders>
              <w:top w:val="nil"/>
              <w:left w:val="nil"/>
              <w:bottom w:val="nil"/>
              <w:right w:val="nil"/>
            </w:tcBorders>
            <w:vAlign w:val="bottom"/>
          </w:tcPr>
          <w:p w14:paraId="1610072D" w14:textId="77777777" w:rsidR="0049404C" w:rsidRDefault="00DF61EA" w:rsidP="00AE43B1">
            <w:pPr>
              <w:spacing w:after="0"/>
              <w:ind w:left="0" w:firstLine="0"/>
            </w:pPr>
            <w:r>
              <w:t>3SG.eat.PST</w:t>
            </w:r>
          </w:p>
        </w:tc>
      </w:tr>
    </w:tbl>
    <w:p w14:paraId="359A92A0" w14:textId="77777777" w:rsidR="0049404C" w:rsidRDefault="00DF61EA" w:rsidP="00AE43B1">
      <w:pPr>
        <w:tabs>
          <w:tab w:val="center" w:pos="662"/>
          <w:tab w:val="center" w:pos="2806"/>
          <w:tab w:val="center" w:pos="8224"/>
        </w:tabs>
        <w:spacing w:after="258"/>
        <w:ind w:left="0" w:firstLine="0"/>
      </w:pPr>
      <w:r>
        <w:t>‘Kofi bought the matter and ate it’</w:t>
      </w:r>
    </w:p>
    <w:p w14:paraId="05F7DB6C" w14:textId="77777777" w:rsidR="0049404C" w:rsidRDefault="0049404C" w:rsidP="00AE43B1">
      <w:pPr>
        <w:spacing w:after="252"/>
        <w:ind w:left="1440" w:firstLine="0"/>
      </w:pPr>
    </w:p>
    <w:p w14:paraId="10A962CD" w14:textId="77777777" w:rsidR="0049404C" w:rsidRDefault="00DF61EA" w:rsidP="00AE43B1">
      <w:pPr>
        <w:spacing w:after="165" w:line="240" w:lineRule="auto"/>
        <w:ind w:left="-5"/>
      </w:pPr>
      <w:r>
        <w:t xml:space="preserve">Example (7) is ungrammatical and it is so by the semantics of </w:t>
      </w:r>
      <w:r>
        <w:rPr>
          <w:b/>
        </w:rPr>
        <w:t>he</w:t>
      </w:r>
      <w:r>
        <w:t xml:space="preserve"> (buy) and </w:t>
      </w:r>
      <w:r>
        <w:rPr>
          <w:b/>
        </w:rPr>
        <w:t>ye</w:t>
      </w:r>
      <w:r>
        <w:t xml:space="preserve">(eat). </w:t>
      </w:r>
      <w:r>
        <w:rPr>
          <w:b/>
        </w:rPr>
        <w:t>Ye</w:t>
      </w:r>
      <w:r>
        <w:t xml:space="preserve"> is a verb that demands an object with the quality [+edible] but this is not the case with </w:t>
      </w:r>
      <w:r>
        <w:rPr>
          <w:b/>
        </w:rPr>
        <w:t xml:space="preserve">sane </w:t>
      </w:r>
      <w:r>
        <w:t>(story/matter). In (7) the presence of the conjunction gives the construction the interpretation of two separate events. This is in contrast with the interpretation of SVC as a unitary event.</w:t>
      </w:r>
    </w:p>
    <w:p w14:paraId="4D401E86" w14:textId="77777777" w:rsidR="00E41FF6" w:rsidRDefault="00E41FF6" w:rsidP="00AE43B1">
      <w:pPr>
        <w:spacing w:after="165" w:line="240" w:lineRule="auto"/>
        <w:ind w:left="-5"/>
      </w:pPr>
    </w:p>
    <w:p w14:paraId="2FDFE288" w14:textId="77777777" w:rsidR="0049404C" w:rsidRDefault="00E41FF6" w:rsidP="00AE43B1">
      <w:pPr>
        <w:spacing w:after="404" w:line="265" w:lineRule="auto"/>
        <w:ind w:left="-5"/>
      </w:pPr>
      <w:r>
        <w:rPr>
          <w:b/>
        </w:rPr>
        <w:t xml:space="preserve">2.4 </w:t>
      </w:r>
      <w:r w:rsidR="00DF61EA">
        <w:rPr>
          <w:b/>
        </w:rPr>
        <w:t>The Object Constraint:</w:t>
      </w:r>
    </w:p>
    <w:p w14:paraId="3B024BCE" w14:textId="77777777" w:rsidR="0049404C" w:rsidRDefault="00DF61EA" w:rsidP="00AE43B1">
      <w:pPr>
        <w:spacing w:after="158" w:line="240" w:lineRule="auto"/>
        <w:ind w:left="-5"/>
      </w:pPr>
      <w:r>
        <w:t xml:space="preserve">It states that: “for a construction to be a </w:t>
      </w:r>
      <w:r w:rsidR="00E41FF6">
        <w:t>well-formed</w:t>
      </w:r>
      <w:r>
        <w:t xml:space="preserve"> SVC, if there are two or more polyadic verbs, then these must share the syntactic realization of their direct internal arguments” (</w:t>
      </w:r>
      <w:proofErr w:type="spellStart"/>
      <w:r>
        <w:t>Bodomo</w:t>
      </w:r>
      <w:proofErr w:type="spellEnd"/>
      <w:r>
        <w:t xml:space="preserve"> 1993:45).</w:t>
      </w:r>
    </w:p>
    <w:p w14:paraId="6222F3DA" w14:textId="77777777" w:rsidR="0049404C" w:rsidRDefault="00DF61EA" w:rsidP="00AE43B1">
      <w:pPr>
        <w:spacing w:after="154"/>
        <w:ind w:left="-5"/>
      </w:pPr>
      <w:r>
        <w:t>8)</w:t>
      </w:r>
    </w:p>
    <w:p w14:paraId="71F1E01D" w14:textId="77777777" w:rsidR="0049404C" w:rsidRDefault="00DF61EA" w:rsidP="00AE43B1">
      <w:pPr>
        <w:tabs>
          <w:tab w:val="center" w:pos="637"/>
          <w:tab w:val="center" w:pos="1299"/>
          <w:tab w:val="center" w:pos="3070"/>
          <w:tab w:val="center" w:pos="4829"/>
          <w:tab w:val="center" w:pos="6246"/>
          <w:tab w:val="center" w:pos="7835"/>
        </w:tabs>
        <w:ind w:left="0" w:firstLine="0"/>
      </w:pPr>
      <w:r>
        <w:t xml:space="preserve">a. </w:t>
      </w:r>
      <w:r>
        <w:tab/>
        <w:t xml:space="preserve">Kofi </w:t>
      </w:r>
      <w:r>
        <w:tab/>
      </w:r>
      <w:proofErr w:type="spellStart"/>
      <w:r>
        <w:t>hoo</w:t>
      </w:r>
      <w:proofErr w:type="spellEnd"/>
      <w:r>
        <w:t xml:space="preserve"> </w:t>
      </w:r>
      <w:r>
        <w:tab/>
      </w:r>
      <w:proofErr w:type="spellStart"/>
      <w:r>
        <w:t>nii</w:t>
      </w:r>
      <w:proofErr w:type="spellEnd"/>
      <w:r>
        <w:t xml:space="preserve"> </w:t>
      </w:r>
      <w:r>
        <w:tab/>
        <w:t>ye</w:t>
      </w:r>
    </w:p>
    <w:p w14:paraId="672FA448" w14:textId="77777777" w:rsidR="0049404C" w:rsidRDefault="00DF61EA" w:rsidP="00AE43B1">
      <w:pPr>
        <w:tabs>
          <w:tab w:val="center" w:pos="554"/>
          <w:tab w:val="center" w:pos="1299"/>
          <w:tab w:val="center" w:pos="3338"/>
          <w:tab w:val="center" w:pos="5202"/>
          <w:tab w:val="center" w:pos="6584"/>
          <w:tab w:val="center" w:pos="7835"/>
        </w:tabs>
        <w:spacing w:after="30"/>
        <w:ind w:left="0" w:firstLine="0"/>
      </w:pPr>
      <w:r>
        <w:t xml:space="preserve">Kofi </w:t>
      </w:r>
      <w:r>
        <w:tab/>
      </w:r>
      <w:proofErr w:type="spellStart"/>
      <w:r>
        <w:t>IMPF.eat</w:t>
      </w:r>
      <w:proofErr w:type="spellEnd"/>
      <w:r>
        <w:t xml:space="preserve"> </w:t>
      </w:r>
      <w:r>
        <w:tab/>
        <w:t xml:space="preserve">something </w:t>
      </w:r>
      <w:r>
        <w:tab/>
      </w:r>
      <w:proofErr w:type="spellStart"/>
      <w:r>
        <w:t>IMPF.eat</w:t>
      </w:r>
      <w:proofErr w:type="spellEnd"/>
    </w:p>
    <w:p w14:paraId="29BE3FCA" w14:textId="77777777" w:rsidR="0049404C" w:rsidRDefault="00DF61EA" w:rsidP="00AE43B1">
      <w:pPr>
        <w:tabs>
          <w:tab w:val="center" w:pos="554"/>
          <w:tab w:val="center" w:pos="2608"/>
        </w:tabs>
        <w:ind w:left="0" w:firstLine="0"/>
      </w:pPr>
      <w:r>
        <w:t xml:space="preserve">‘Kofi </w:t>
      </w:r>
      <w:r w:rsidR="00947763">
        <w:t>cooked something</w:t>
      </w:r>
      <w:r>
        <w:t xml:space="preserve"> to eat’</w:t>
      </w:r>
    </w:p>
    <w:p w14:paraId="02A1F5DD" w14:textId="77777777" w:rsidR="0049404C" w:rsidRDefault="0049404C" w:rsidP="00AE43B1">
      <w:pPr>
        <w:spacing w:after="278"/>
        <w:ind w:left="0" w:firstLine="0"/>
      </w:pPr>
    </w:p>
    <w:p w14:paraId="1A61CBB8" w14:textId="77777777" w:rsidR="0049404C" w:rsidRDefault="00DF61EA" w:rsidP="00AE43B1">
      <w:pPr>
        <w:tabs>
          <w:tab w:val="center" w:pos="1036"/>
          <w:tab w:val="center" w:pos="3070"/>
          <w:tab w:val="center" w:pos="4829"/>
          <w:tab w:val="center" w:pos="6335"/>
          <w:tab w:val="center" w:pos="7962"/>
        </w:tabs>
        <w:ind w:left="0" w:firstLine="0"/>
      </w:pPr>
      <w:r>
        <w:t xml:space="preserve">*b. Kofi </w:t>
      </w:r>
      <w:r>
        <w:tab/>
      </w:r>
      <w:proofErr w:type="spellStart"/>
      <w:r>
        <w:t>hoo</w:t>
      </w:r>
      <w:proofErr w:type="spellEnd"/>
      <w:r>
        <w:t xml:space="preserve"> </w:t>
      </w:r>
      <w:r>
        <w:tab/>
      </w:r>
      <w:proofErr w:type="spellStart"/>
      <w:r>
        <w:t>nii</w:t>
      </w:r>
      <w:proofErr w:type="spellEnd"/>
      <w:r>
        <w:t xml:space="preserve"> </w:t>
      </w:r>
      <w:r>
        <w:tab/>
        <w:t xml:space="preserve">ye </w:t>
      </w:r>
      <w:r>
        <w:tab/>
      </w:r>
      <w:proofErr w:type="spellStart"/>
      <w:r>
        <w:t>nii</w:t>
      </w:r>
      <w:proofErr w:type="spellEnd"/>
    </w:p>
    <w:p w14:paraId="34D120AC" w14:textId="77777777" w:rsidR="0049404C" w:rsidRDefault="00DF61EA" w:rsidP="00AE43B1">
      <w:pPr>
        <w:tabs>
          <w:tab w:val="center" w:pos="554"/>
          <w:tab w:val="center" w:pos="1299"/>
          <w:tab w:val="center" w:pos="3432"/>
          <w:tab w:val="center" w:pos="5202"/>
          <w:tab w:val="center" w:pos="6642"/>
          <w:tab w:val="center" w:pos="8294"/>
        </w:tabs>
        <w:spacing w:after="35"/>
        <w:ind w:left="0" w:firstLine="0"/>
      </w:pPr>
      <w:r>
        <w:t xml:space="preserve">Kofi </w:t>
      </w:r>
      <w:r>
        <w:tab/>
      </w:r>
      <w:proofErr w:type="spellStart"/>
      <w:r>
        <w:t>IMPF.cook</w:t>
      </w:r>
      <w:proofErr w:type="spellEnd"/>
      <w:r>
        <w:t xml:space="preserve"> </w:t>
      </w:r>
      <w:r>
        <w:tab/>
        <w:t xml:space="preserve">something </w:t>
      </w:r>
      <w:r>
        <w:tab/>
      </w:r>
      <w:proofErr w:type="spellStart"/>
      <w:r>
        <w:t>IMPFeat</w:t>
      </w:r>
      <w:proofErr w:type="spellEnd"/>
      <w:r>
        <w:t xml:space="preserve"> </w:t>
      </w:r>
      <w:r>
        <w:tab/>
      </w:r>
      <w:r>
        <w:rPr>
          <w:sz w:val="22"/>
        </w:rPr>
        <w:t>something</w:t>
      </w:r>
    </w:p>
    <w:p w14:paraId="55DF3442" w14:textId="77777777" w:rsidR="0049404C" w:rsidRDefault="00DF61EA" w:rsidP="00AE43B1">
      <w:pPr>
        <w:tabs>
          <w:tab w:val="center" w:pos="554"/>
          <w:tab w:val="center" w:pos="3108"/>
        </w:tabs>
        <w:ind w:left="0" w:firstLine="0"/>
      </w:pPr>
      <w:r>
        <w:t>‘Kofi cooked something to eat something’</w:t>
      </w:r>
    </w:p>
    <w:p w14:paraId="6EE4B6A5" w14:textId="77777777" w:rsidR="0049404C" w:rsidRDefault="0049404C" w:rsidP="00AE43B1">
      <w:pPr>
        <w:spacing w:after="158"/>
        <w:ind w:left="0" w:firstLine="0"/>
      </w:pPr>
    </w:p>
    <w:p w14:paraId="573FBCA5" w14:textId="77777777" w:rsidR="0049404C" w:rsidRDefault="00DF61EA" w:rsidP="00AE43B1">
      <w:pPr>
        <w:spacing w:after="163" w:line="240" w:lineRule="auto"/>
        <w:ind w:left="-5"/>
      </w:pPr>
      <w:r>
        <w:t xml:space="preserve">Both </w:t>
      </w:r>
      <w:proofErr w:type="spellStart"/>
      <w:r>
        <w:rPr>
          <w:b/>
        </w:rPr>
        <w:t>hoo</w:t>
      </w:r>
      <w:proofErr w:type="spellEnd"/>
      <w:r>
        <w:rPr>
          <w:b/>
        </w:rPr>
        <w:t xml:space="preserve"> </w:t>
      </w:r>
      <w:r>
        <w:t xml:space="preserve">and </w:t>
      </w:r>
      <w:r>
        <w:rPr>
          <w:b/>
        </w:rPr>
        <w:t xml:space="preserve">ye </w:t>
      </w:r>
      <w:r>
        <w:t xml:space="preserve">are transitive verbs, which means they take on objects. Yet (8b) is ungrammatical because it repeats an object </w:t>
      </w:r>
      <w:proofErr w:type="spellStart"/>
      <w:r>
        <w:rPr>
          <w:b/>
        </w:rPr>
        <w:t>nii</w:t>
      </w:r>
      <w:proofErr w:type="spellEnd"/>
      <w:r>
        <w:t>. In (8a) the constraint has been respected by not allowing a surface realization of the shared object. The ungrammaticality of (8b) stems from the violation of the object constraint by allowing a surface realization of the shared object. From these examples we can conclude that object sharing is valid in Ga serial verb constructions.</w:t>
      </w:r>
    </w:p>
    <w:p w14:paraId="4334E493" w14:textId="77777777" w:rsidR="0049404C" w:rsidRDefault="00E41FF6" w:rsidP="00AE43B1">
      <w:pPr>
        <w:spacing w:after="428" w:line="265" w:lineRule="auto"/>
        <w:ind w:left="-5"/>
      </w:pPr>
      <w:r>
        <w:rPr>
          <w:b/>
        </w:rPr>
        <w:lastRenderedPageBreak/>
        <w:t xml:space="preserve">2.5 </w:t>
      </w:r>
      <w:r w:rsidR="00DF61EA">
        <w:rPr>
          <w:b/>
        </w:rPr>
        <w:t>The Predicate Constraint:</w:t>
      </w:r>
    </w:p>
    <w:p w14:paraId="5F31C50D" w14:textId="77777777" w:rsidR="0049404C" w:rsidRDefault="00DF61EA" w:rsidP="00AE43B1">
      <w:pPr>
        <w:spacing w:after="160" w:line="240" w:lineRule="auto"/>
        <w:ind w:left="-5"/>
      </w:pPr>
      <w:r>
        <w:t xml:space="preserve">The Predicate Constraint states that: “A construction c is an SVC if two or more different finite verbs occur </w:t>
      </w:r>
      <w:proofErr w:type="spellStart"/>
      <w:r>
        <w:t>monoclausically</w:t>
      </w:r>
      <w:proofErr w:type="spellEnd"/>
      <w:r>
        <w:t>, selecting each other in such a way that together they express a single event.</w:t>
      </w:r>
      <w:r w:rsidR="00947763">
        <w:t>”</w:t>
      </w:r>
      <w:r>
        <w:t xml:space="preserve"> (</w:t>
      </w:r>
      <w:proofErr w:type="spellStart"/>
      <w:r>
        <w:t>Bodomo</w:t>
      </w:r>
      <w:proofErr w:type="spellEnd"/>
      <w:r>
        <w:t xml:space="preserve"> 1993:45).</w:t>
      </w:r>
    </w:p>
    <w:p w14:paraId="136161E9" w14:textId="77777777" w:rsidR="0049404C" w:rsidRDefault="00DF61EA" w:rsidP="00AE43B1">
      <w:pPr>
        <w:spacing w:after="353" w:line="240" w:lineRule="auto"/>
        <w:ind w:left="-5"/>
      </w:pPr>
      <w:r>
        <w:t xml:space="preserve">There are two key words in the statement of the constraint. These are </w:t>
      </w:r>
      <w:r>
        <w:rPr>
          <w:i/>
        </w:rPr>
        <w:t>different</w:t>
      </w:r>
      <w:r>
        <w:t xml:space="preserve"> and </w:t>
      </w:r>
      <w:r>
        <w:rPr>
          <w:i/>
        </w:rPr>
        <w:t>finite</w:t>
      </w:r>
      <w:r>
        <w:t>. By insisting that the verbs in the SVC should be different verbs, we eliminate constructions with reduplicated verbs from SVCs. The construction below therefore cannot be classified as an SVC. 9)</w:t>
      </w:r>
    </w:p>
    <w:p w14:paraId="19F5E77C" w14:textId="77777777" w:rsidR="0049404C" w:rsidRDefault="00DF61EA" w:rsidP="00AE43B1">
      <w:pPr>
        <w:tabs>
          <w:tab w:val="center" w:pos="776"/>
          <w:tab w:val="center" w:pos="2150"/>
          <w:tab w:val="center" w:pos="5194"/>
          <w:tab w:val="center" w:pos="7938"/>
        </w:tabs>
        <w:ind w:left="0" w:firstLine="0"/>
      </w:pPr>
      <w:r>
        <w:t xml:space="preserve">a. </w:t>
      </w:r>
      <w:r>
        <w:tab/>
      </w:r>
      <w:proofErr w:type="spellStart"/>
      <w:r>
        <w:t>Amɛ</w:t>
      </w:r>
      <w:proofErr w:type="spellEnd"/>
      <w:r>
        <w:t>-ye-ye-</w:t>
      </w:r>
      <w:proofErr w:type="spellStart"/>
      <w:r>
        <w:t>i</w:t>
      </w:r>
      <w:proofErr w:type="spellEnd"/>
      <w:r>
        <w:t xml:space="preserve"> </w:t>
      </w:r>
      <w:r>
        <w:tab/>
      </w:r>
      <w:proofErr w:type="spellStart"/>
      <w:r>
        <w:t>nii</w:t>
      </w:r>
      <w:proofErr w:type="spellEnd"/>
    </w:p>
    <w:p w14:paraId="09BE5099" w14:textId="77777777" w:rsidR="0049404C" w:rsidRDefault="00DF61EA" w:rsidP="00AE43B1">
      <w:pPr>
        <w:tabs>
          <w:tab w:val="center" w:pos="694"/>
          <w:tab w:val="center" w:pos="2735"/>
          <w:tab w:val="center" w:pos="5314"/>
        </w:tabs>
        <w:ind w:left="-15" w:firstLine="0"/>
      </w:pPr>
      <w:r>
        <w:t xml:space="preserve">3PL-IMPFeat-DUPL-PL  </w:t>
      </w:r>
      <w:r>
        <w:tab/>
        <w:t>thing</w:t>
      </w:r>
    </w:p>
    <w:p w14:paraId="6526BB2C" w14:textId="77777777" w:rsidR="0049404C" w:rsidRDefault="00DF61EA" w:rsidP="00AE43B1">
      <w:pPr>
        <w:tabs>
          <w:tab w:val="center" w:pos="694"/>
          <w:tab w:val="center" w:pos="3126"/>
        </w:tabs>
        <w:ind w:left="0" w:firstLine="0"/>
      </w:pPr>
      <w:r>
        <w:t>They ate a lot of/ different things</w:t>
      </w:r>
    </w:p>
    <w:p w14:paraId="19E76CAA" w14:textId="77777777" w:rsidR="0049404C" w:rsidRDefault="0049404C" w:rsidP="00AE43B1">
      <w:pPr>
        <w:spacing w:after="158" w:line="240" w:lineRule="auto"/>
        <w:ind w:left="0" w:firstLine="0"/>
      </w:pPr>
    </w:p>
    <w:p w14:paraId="5E407BE4" w14:textId="77777777" w:rsidR="0049404C" w:rsidRDefault="00DF61EA" w:rsidP="00AE43B1">
      <w:pPr>
        <w:spacing w:after="166" w:line="240" w:lineRule="auto"/>
        <w:ind w:left="-5"/>
      </w:pPr>
      <w:r>
        <w:t xml:space="preserve">The sentence illustrates two verbs that occur </w:t>
      </w:r>
      <w:proofErr w:type="spellStart"/>
      <w:r>
        <w:t>monoclausically</w:t>
      </w:r>
      <w:proofErr w:type="spellEnd"/>
      <w:r>
        <w:t>, but since they are the same verb repeated, cannot count as an SVC.</w:t>
      </w:r>
    </w:p>
    <w:p w14:paraId="6ADDB444" w14:textId="77777777" w:rsidR="0049404C" w:rsidRDefault="0049404C" w:rsidP="00AE43B1">
      <w:pPr>
        <w:spacing w:after="411"/>
        <w:ind w:left="0" w:firstLine="0"/>
      </w:pPr>
    </w:p>
    <w:p w14:paraId="565977C2" w14:textId="77777777" w:rsidR="0049404C" w:rsidRDefault="00DF61EA" w:rsidP="00AE43B1">
      <w:pPr>
        <w:spacing w:after="404" w:line="265" w:lineRule="auto"/>
        <w:ind w:left="-5"/>
      </w:pPr>
      <w:r>
        <w:rPr>
          <w:b/>
        </w:rPr>
        <w:t>3.0 CONCLUSION:</w:t>
      </w:r>
    </w:p>
    <w:p w14:paraId="41542C69" w14:textId="77777777" w:rsidR="0049404C" w:rsidRDefault="00DF61EA" w:rsidP="00AE43B1">
      <w:pPr>
        <w:spacing w:after="166" w:line="240" w:lineRule="auto"/>
        <w:ind w:left="-5"/>
      </w:pPr>
      <w:r>
        <w:t>The investigation into Ga serial verb constructions has led us to an understanding of how it marks for tense, aspect, mood, polarity and number. We have come to understand of the different definitions of serial verb constructs under five grammatical categories, Single Subject, Inflectional, Conjunction, Object and Predicate Constraints which govern it. On the basis of the constraints, we conclude that syntactically, SVCs are constructions in which two or more verbs occur in a single clause and semantically express a single but complex event.</w:t>
      </w:r>
    </w:p>
    <w:p w14:paraId="5538974D" w14:textId="77777777" w:rsidR="00947763" w:rsidRDefault="00947763" w:rsidP="00AE43B1">
      <w:pPr>
        <w:spacing w:after="160"/>
        <w:ind w:left="0" w:firstLine="0"/>
        <w:rPr>
          <w:b/>
        </w:rPr>
      </w:pPr>
      <w:r>
        <w:rPr>
          <w:b/>
        </w:rPr>
        <w:br w:type="page"/>
      </w:r>
    </w:p>
    <w:p w14:paraId="77115909" w14:textId="77777777" w:rsidR="0049404C" w:rsidRDefault="00DF61EA" w:rsidP="00AE43B1">
      <w:pPr>
        <w:spacing w:after="145" w:line="265" w:lineRule="auto"/>
        <w:ind w:left="-5"/>
      </w:pPr>
      <w:r>
        <w:rPr>
          <w:b/>
        </w:rPr>
        <w:lastRenderedPageBreak/>
        <w:t>REFERENCES:</w:t>
      </w:r>
    </w:p>
    <w:p w14:paraId="6F9195F8" w14:textId="77777777" w:rsidR="0049404C" w:rsidRDefault="00DF61EA" w:rsidP="00AE43B1">
      <w:pPr>
        <w:ind w:left="705" w:hanging="720"/>
      </w:pPr>
      <w:r>
        <w:t xml:space="preserve">Adjei, E.N.A (1999). </w:t>
      </w:r>
      <w:r w:rsidRPr="00E41FF6">
        <w:rPr>
          <w:i/>
          <w:iCs/>
        </w:rPr>
        <w:t>An Aspect of the Syntax and Semantics of Ga: Serial Verb Constructions.</w:t>
      </w:r>
      <w:r>
        <w:t xml:space="preserve"> MPhil Thesis, Linguistics Dept. University of Ghana</w:t>
      </w:r>
    </w:p>
    <w:p w14:paraId="3F3333EB" w14:textId="77777777" w:rsidR="0049404C" w:rsidRDefault="00DF61EA" w:rsidP="00AE43B1">
      <w:pPr>
        <w:spacing w:after="1" w:line="254" w:lineRule="auto"/>
        <w:ind w:left="720" w:hanging="720"/>
      </w:pPr>
      <w:proofErr w:type="spellStart"/>
      <w:r>
        <w:t>Aikhenvald</w:t>
      </w:r>
      <w:proofErr w:type="spellEnd"/>
      <w:r>
        <w:t xml:space="preserve">, A. Y (2006) </w:t>
      </w:r>
      <w:r w:rsidRPr="00E41FF6">
        <w:rPr>
          <w:i/>
          <w:iCs/>
        </w:rPr>
        <w:t>Serial Verb Constructions in a typological perspective</w:t>
      </w:r>
      <w:r>
        <w:t xml:space="preserve">, pp. 1-87 of </w:t>
      </w:r>
      <w:proofErr w:type="spellStart"/>
      <w:r>
        <w:t>Aikhenvald</w:t>
      </w:r>
      <w:proofErr w:type="spellEnd"/>
      <w:r>
        <w:t xml:space="preserve"> and Dixon eds. Serial Verb Constructions: a cross-linguistic typology. Oxford University Press.</w:t>
      </w:r>
    </w:p>
    <w:p w14:paraId="2A5B9CB5" w14:textId="77777777" w:rsidR="0049404C" w:rsidRPr="00E41FF6" w:rsidRDefault="00DF61EA" w:rsidP="00AE43B1">
      <w:pPr>
        <w:spacing w:line="256" w:lineRule="auto"/>
        <w:ind w:left="-15" w:firstLine="0"/>
        <w:rPr>
          <w:i/>
          <w:iCs/>
        </w:rPr>
      </w:pPr>
      <w:proofErr w:type="spellStart"/>
      <w:r>
        <w:t>Bodomo</w:t>
      </w:r>
      <w:proofErr w:type="spellEnd"/>
      <w:r>
        <w:t xml:space="preserve">, A.B (1993) </w:t>
      </w:r>
      <w:r w:rsidRPr="00E41FF6">
        <w:rPr>
          <w:i/>
          <w:iCs/>
        </w:rPr>
        <w:t>Complex Predicates and Events Structure: An integrated Analysis of Serial</w:t>
      </w:r>
    </w:p>
    <w:p w14:paraId="17979988" w14:textId="77777777" w:rsidR="0049404C" w:rsidRDefault="00DF61EA" w:rsidP="00AE43B1">
      <w:pPr>
        <w:ind w:left="730"/>
      </w:pPr>
      <w:r w:rsidRPr="00E41FF6">
        <w:rPr>
          <w:i/>
          <w:iCs/>
        </w:rPr>
        <w:t xml:space="preserve">Verbs Constructions in the </w:t>
      </w:r>
      <w:proofErr w:type="spellStart"/>
      <w:r w:rsidRPr="00E41FF6">
        <w:rPr>
          <w:i/>
          <w:iCs/>
        </w:rPr>
        <w:t>Mabia</w:t>
      </w:r>
      <w:proofErr w:type="spellEnd"/>
      <w:r w:rsidRPr="00E41FF6">
        <w:rPr>
          <w:i/>
          <w:iCs/>
        </w:rPr>
        <w:t xml:space="preserve"> Language of West Africa</w:t>
      </w:r>
      <w:r>
        <w:t>. Working Papers in Linguistics. 30. Trondheim, University of Trondheim</w:t>
      </w:r>
    </w:p>
    <w:p w14:paraId="2DE9BEB7" w14:textId="77777777" w:rsidR="0049404C" w:rsidRDefault="00DF61EA" w:rsidP="00AE43B1">
      <w:pPr>
        <w:ind w:left="705" w:hanging="720"/>
      </w:pPr>
      <w:commentRangeStart w:id="15"/>
      <w:proofErr w:type="spellStart"/>
      <w:r>
        <w:t>Dakubu</w:t>
      </w:r>
      <w:proofErr w:type="spellEnd"/>
      <w:r>
        <w:t xml:space="preserve">, M.E.K </w:t>
      </w:r>
      <w:commentRangeEnd w:id="15"/>
      <w:r w:rsidR="00D56341">
        <w:rPr>
          <w:rStyle w:val="CommentReference"/>
        </w:rPr>
        <w:commentReference w:id="15"/>
      </w:r>
      <w:r>
        <w:t xml:space="preserve">(1997); </w:t>
      </w:r>
      <w:r w:rsidRPr="00E41FF6">
        <w:rPr>
          <w:i/>
          <w:iCs/>
        </w:rPr>
        <w:t>Korle meets the Sea, a sociolinguistic history of Accra</w:t>
      </w:r>
      <w:r>
        <w:t>. New York, Oxford University Press</w:t>
      </w:r>
    </w:p>
    <w:p w14:paraId="7B4630D1" w14:textId="77777777" w:rsidR="0049404C" w:rsidRDefault="00DF61EA" w:rsidP="00AE43B1">
      <w:pPr>
        <w:spacing w:line="256" w:lineRule="auto"/>
        <w:ind w:left="715" w:hanging="730"/>
      </w:pPr>
      <w:r>
        <w:t xml:space="preserve">Hansen, Rev. A. W (1856) </w:t>
      </w:r>
      <w:r w:rsidRPr="00E41FF6">
        <w:rPr>
          <w:i/>
          <w:iCs/>
        </w:rPr>
        <w:t xml:space="preserve">On the Grammatical Principles of the </w:t>
      </w:r>
      <w:proofErr w:type="spellStart"/>
      <w:r w:rsidRPr="00E41FF6">
        <w:rPr>
          <w:i/>
          <w:iCs/>
        </w:rPr>
        <w:t>Gha</w:t>
      </w:r>
      <w:proofErr w:type="spellEnd"/>
      <w:r w:rsidRPr="00E41FF6">
        <w:rPr>
          <w:i/>
          <w:iCs/>
        </w:rPr>
        <w:t xml:space="preserve"> (Accra) language</w:t>
      </w:r>
      <w:r>
        <w:t xml:space="preserve">. </w:t>
      </w:r>
      <w:r>
        <w:rPr>
          <w:i/>
        </w:rPr>
        <w:t xml:space="preserve">Journal of the Ethnological Society </w:t>
      </w:r>
      <w:r>
        <w:t>4, 84-97.</w:t>
      </w:r>
    </w:p>
    <w:p w14:paraId="4ECBC6EC" w14:textId="77777777" w:rsidR="0049404C" w:rsidRDefault="00DF61EA" w:rsidP="00AE43B1">
      <w:pPr>
        <w:ind w:left="-5"/>
      </w:pPr>
      <w:r>
        <w:t xml:space="preserve">Lewis, P. M (2015) </w:t>
      </w:r>
      <w:proofErr w:type="spellStart"/>
      <w:r w:rsidRPr="00E41FF6">
        <w:rPr>
          <w:i/>
          <w:iCs/>
        </w:rPr>
        <w:t>Ethnologue</w:t>
      </w:r>
      <w:proofErr w:type="spellEnd"/>
      <w:r w:rsidRPr="00E41FF6">
        <w:rPr>
          <w:i/>
          <w:iCs/>
        </w:rPr>
        <w:t>, Languages of the World</w:t>
      </w:r>
      <w:r>
        <w:rPr>
          <w:u w:val="single" w:color="000000"/>
        </w:rPr>
        <w:t>.</w:t>
      </w:r>
      <w:r>
        <w:t xml:space="preserve"> 18</w:t>
      </w:r>
      <w:r>
        <w:rPr>
          <w:vertAlign w:val="superscript"/>
        </w:rPr>
        <w:t>th</w:t>
      </w:r>
      <w:r>
        <w:t xml:space="preserve"> edition. SIL International</w:t>
      </w:r>
    </w:p>
    <w:p w14:paraId="7A9B3574" w14:textId="77777777" w:rsidR="0049404C" w:rsidRDefault="00DF61EA" w:rsidP="00AE43B1">
      <w:pPr>
        <w:spacing w:after="0" w:line="253" w:lineRule="auto"/>
        <w:ind w:left="720" w:hanging="720"/>
      </w:pPr>
      <w:r>
        <w:t xml:space="preserve">Lord, Carol (1993) </w:t>
      </w:r>
      <w:r>
        <w:rPr>
          <w:i/>
        </w:rPr>
        <w:t>Historical Changes in Serial Verb Constructions. Typological Studies in Language</w:t>
      </w:r>
      <w:r>
        <w:t xml:space="preserve"> 26, Amsterdam, John Benjamins Publishing Company.</w:t>
      </w:r>
    </w:p>
    <w:p w14:paraId="2F5EAEA9" w14:textId="77777777" w:rsidR="0049404C" w:rsidRDefault="00DF61EA" w:rsidP="00AE43B1">
      <w:pPr>
        <w:spacing w:line="256" w:lineRule="auto"/>
        <w:ind w:left="715" w:hanging="730"/>
      </w:pPr>
      <w:proofErr w:type="spellStart"/>
      <w:r>
        <w:t>Osam</w:t>
      </w:r>
      <w:proofErr w:type="spellEnd"/>
      <w:r>
        <w:t xml:space="preserve">, E. K (2004) </w:t>
      </w:r>
      <w:r w:rsidRPr="00E41FF6">
        <w:rPr>
          <w:i/>
          <w:iCs/>
        </w:rPr>
        <w:t xml:space="preserve">The Trondheim Lectures. An Introduction to the Structure of Akan: its Verbal and </w:t>
      </w:r>
      <w:proofErr w:type="spellStart"/>
      <w:r w:rsidRPr="00E41FF6">
        <w:rPr>
          <w:i/>
          <w:iCs/>
        </w:rPr>
        <w:t>Multiverbal</w:t>
      </w:r>
      <w:proofErr w:type="spellEnd"/>
      <w:r w:rsidRPr="00E41FF6">
        <w:rPr>
          <w:i/>
          <w:iCs/>
        </w:rPr>
        <w:t xml:space="preserve"> </w:t>
      </w:r>
      <w:proofErr w:type="spellStart"/>
      <w:r w:rsidRPr="00E41FF6">
        <w:rPr>
          <w:i/>
          <w:iCs/>
        </w:rPr>
        <w:t>SystemsAspects</w:t>
      </w:r>
      <w:proofErr w:type="spellEnd"/>
      <w:r>
        <w:rPr>
          <w:u w:val="single" w:color="000000"/>
        </w:rPr>
        <w:t>.</w:t>
      </w:r>
      <w:r>
        <w:t xml:space="preserve"> Department of </w:t>
      </w:r>
      <w:proofErr w:type="spellStart"/>
      <w:r>
        <w:t>Linguistcs</w:t>
      </w:r>
      <w:proofErr w:type="spellEnd"/>
      <w:r>
        <w:t>, University of Ghana Legon.</w:t>
      </w:r>
    </w:p>
    <w:p w14:paraId="5E5F4543" w14:textId="77777777" w:rsidR="0049404C" w:rsidRDefault="00DF61EA" w:rsidP="00AE43B1">
      <w:pPr>
        <w:ind w:left="705" w:hanging="720"/>
      </w:pPr>
      <w:r>
        <w:t xml:space="preserve">Williamson K. (1989) </w:t>
      </w:r>
      <w:r w:rsidRPr="00E41FF6">
        <w:rPr>
          <w:i/>
          <w:iCs/>
          <w:u w:val="single" w:color="000000"/>
        </w:rPr>
        <w:t>Niger-Congo Overview</w:t>
      </w:r>
      <w:r>
        <w:t>, In J. Bender-Samuel (Ed) Niger-Congo Languages-Langham University Press of America</w:t>
      </w:r>
    </w:p>
    <w:p w14:paraId="07F0FA34" w14:textId="77777777" w:rsidR="0049404C" w:rsidRDefault="00DF61EA" w:rsidP="00AE43B1">
      <w:pPr>
        <w:ind w:left="-5"/>
      </w:pPr>
      <w:proofErr w:type="spellStart"/>
      <w:r>
        <w:t>Wilkie</w:t>
      </w:r>
      <w:proofErr w:type="spellEnd"/>
      <w:r>
        <w:t xml:space="preserve">, M.B. (1930). </w:t>
      </w:r>
      <w:r w:rsidRPr="00E41FF6">
        <w:rPr>
          <w:i/>
          <w:iCs/>
        </w:rPr>
        <w:t>Ga Grammar Notes and Exercises</w:t>
      </w:r>
      <w:r>
        <w:t>. Oxford University Press</w:t>
      </w:r>
    </w:p>
    <w:p w14:paraId="42BB4EB8" w14:textId="77777777" w:rsidR="0049404C" w:rsidRDefault="00DF61EA" w:rsidP="00AE43B1">
      <w:pPr>
        <w:spacing w:line="256" w:lineRule="auto"/>
        <w:ind w:left="715" w:hanging="730"/>
      </w:pPr>
      <w:r>
        <w:t xml:space="preserve">Zimmerman J. (1858) </w:t>
      </w:r>
      <w:r w:rsidRPr="00E41FF6">
        <w:rPr>
          <w:i/>
          <w:iCs/>
        </w:rPr>
        <w:t xml:space="preserve">A Grammatical Sketch of the </w:t>
      </w:r>
      <w:proofErr w:type="spellStart"/>
      <w:r w:rsidRPr="00E41FF6">
        <w:rPr>
          <w:i/>
          <w:iCs/>
        </w:rPr>
        <w:t>Akra</w:t>
      </w:r>
      <w:proofErr w:type="spellEnd"/>
      <w:r w:rsidRPr="00E41FF6">
        <w:rPr>
          <w:i/>
          <w:iCs/>
        </w:rPr>
        <w:t xml:space="preserve"> of Ga Language Including Vocabulary of the </w:t>
      </w:r>
      <w:proofErr w:type="spellStart"/>
      <w:r w:rsidRPr="00E41FF6">
        <w:rPr>
          <w:i/>
          <w:iCs/>
        </w:rPr>
        <w:t>Akra</w:t>
      </w:r>
      <w:proofErr w:type="spellEnd"/>
      <w:r w:rsidRPr="00E41FF6">
        <w:rPr>
          <w:i/>
          <w:iCs/>
        </w:rPr>
        <w:t xml:space="preserve"> or Ga Language with an </w:t>
      </w:r>
      <w:proofErr w:type="spellStart"/>
      <w:r w:rsidRPr="00E41FF6">
        <w:rPr>
          <w:i/>
          <w:iCs/>
        </w:rPr>
        <w:t>Adanme</w:t>
      </w:r>
      <w:proofErr w:type="spellEnd"/>
      <w:r w:rsidRPr="00E41FF6">
        <w:rPr>
          <w:i/>
          <w:iCs/>
        </w:rPr>
        <w:t xml:space="preserve"> Appendix</w:t>
      </w:r>
      <w:r>
        <w:t>, Stuttgart.</w:t>
      </w:r>
    </w:p>
    <w:sectPr w:rsidR="0049404C">
      <w:footerReference w:type="even" r:id="rId11"/>
      <w:footerReference w:type="default" r:id="rId12"/>
      <w:footerReference w:type="first" r:id="rId13"/>
      <w:footnotePr>
        <w:numRestart w:val="eachPage"/>
      </w:footnotePr>
      <w:pgSz w:w="12240" w:h="15840"/>
      <w:pgMar w:top="1443" w:right="1436" w:bottom="1271" w:left="1440" w:header="720" w:footer="721"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Author" w:initials="A">
    <w:p w14:paraId="2C5CBFF0" w14:textId="77777777" w:rsidR="007D6FA9" w:rsidRDefault="007D6FA9">
      <w:pPr>
        <w:pStyle w:val="CommentText"/>
      </w:pPr>
      <w:r>
        <w:rPr>
          <w:rStyle w:val="CommentReference"/>
        </w:rPr>
        <w:annotationRef/>
      </w:r>
      <w:r w:rsidR="008F7050">
        <w:t>Provide page number</w:t>
      </w:r>
    </w:p>
  </w:comment>
  <w:comment w:id="1" w:author="Author" w:initials="A">
    <w:p w14:paraId="7D3C19E0" w14:textId="77777777" w:rsidR="008F7050" w:rsidRDefault="008F7050">
      <w:pPr>
        <w:pStyle w:val="CommentText"/>
      </w:pPr>
      <w:r>
        <w:rPr>
          <w:rStyle w:val="CommentReference"/>
        </w:rPr>
        <w:annotationRef/>
      </w:r>
      <w:r>
        <w:t>How much of the following can you really attribute to Zimmerman? He did not go into much detail regarding the syntax and semantics of SVCs.</w:t>
      </w:r>
    </w:p>
  </w:comment>
  <w:comment w:id="2" w:author="Author" w:initials="A">
    <w:p w14:paraId="5E62C923" w14:textId="77777777" w:rsidR="00527F7A" w:rsidRDefault="00AF2EDE" w:rsidP="00527F7A">
      <w:pPr>
        <w:pStyle w:val="CommentText"/>
        <w:rPr>
          <w:rFonts w:ascii="Doulos SIL" w:eastAsiaTheme="minorEastAsia" w:hAnsi="Doulos SIL" w:cs="Doulos SIL"/>
          <w:color w:val="auto"/>
          <w:sz w:val="24"/>
          <w:szCs w:val="24"/>
          <w:lang w:val="en-GB"/>
        </w:rPr>
      </w:pPr>
      <w:r>
        <w:rPr>
          <w:rStyle w:val="CommentReference"/>
        </w:rPr>
        <w:annotationRef/>
      </w:r>
      <w:r>
        <w:t>A more recent classification by Williamson and Blench (2000) departs from this. You may want to check and replace.</w:t>
      </w:r>
      <w:r w:rsidR="00527F7A" w:rsidRPr="00527F7A">
        <w:rPr>
          <w:rFonts w:ascii="Doulos SIL" w:eastAsiaTheme="minorEastAsia" w:hAnsi="Doulos SIL" w:cs="Doulos SIL"/>
          <w:color w:val="auto"/>
          <w:sz w:val="24"/>
          <w:szCs w:val="24"/>
          <w:lang w:val="en-GB"/>
        </w:rPr>
        <w:t xml:space="preserve"> </w:t>
      </w:r>
    </w:p>
    <w:p w14:paraId="6AA56DC8" w14:textId="09DF80F4" w:rsidR="00527F7A" w:rsidRPr="00527F7A" w:rsidRDefault="00527F7A" w:rsidP="00527F7A">
      <w:pPr>
        <w:pStyle w:val="CommentText"/>
        <w:rPr>
          <w:lang w:val="en-GB"/>
        </w:rPr>
      </w:pPr>
      <w:r w:rsidRPr="00527F7A">
        <w:rPr>
          <w:lang w:val="en-GB"/>
        </w:rPr>
        <w:t xml:space="preserve">Williamson, Kay and Blench, Roger 2000. Niger-Congo. In Bernd Heine and Derek Nurse (eds.), </w:t>
      </w:r>
      <w:r w:rsidRPr="00527F7A">
        <w:rPr>
          <w:i/>
          <w:lang w:val="en-GB"/>
        </w:rPr>
        <w:t>African languages: An introduction.</w:t>
      </w:r>
      <w:r w:rsidRPr="00527F7A">
        <w:rPr>
          <w:lang w:val="en-GB"/>
        </w:rPr>
        <w:t xml:space="preserve"> Cambridge: Cambridge University Press.</w:t>
      </w:r>
    </w:p>
    <w:p w14:paraId="05B98F5A" w14:textId="5090DE22" w:rsidR="00AF2EDE" w:rsidRDefault="00527F7A">
      <w:pPr>
        <w:pStyle w:val="CommentText"/>
      </w:pPr>
      <w:r>
        <w:t xml:space="preserve"> </w:t>
      </w:r>
    </w:p>
  </w:comment>
  <w:comment w:id="3" w:author="Author" w:initials="A">
    <w:p w14:paraId="3ABD359B" w14:textId="77777777" w:rsidR="00AF2EDE" w:rsidRDefault="00AF2EDE">
      <w:pPr>
        <w:pStyle w:val="CommentText"/>
      </w:pPr>
      <w:r>
        <w:rPr>
          <w:rStyle w:val="CommentReference"/>
        </w:rPr>
        <w:annotationRef/>
      </w:r>
      <w:proofErr w:type="spellStart"/>
      <w:r>
        <w:t>Obutus</w:t>
      </w:r>
      <w:proofErr w:type="spellEnd"/>
    </w:p>
  </w:comment>
  <w:comment w:id="5" w:author="Author" w:initials="A">
    <w:p w14:paraId="07BE40D9" w14:textId="77777777" w:rsidR="00AF2EDE" w:rsidRDefault="00AF2EDE">
      <w:pPr>
        <w:pStyle w:val="CommentText"/>
      </w:pPr>
      <w:r>
        <w:rPr>
          <w:rStyle w:val="CommentReference"/>
        </w:rPr>
        <w:annotationRef/>
      </w:r>
      <w:r>
        <w:t>Perhaps talk about its vowel and consonant inventory in addition to orthography</w:t>
      </w:r>
    </w:p>
  </w:comment>
  <w:comment w:id="6" w:author="Author" w:initials="A">
    <w:p w14:paraId="28CA6787" w14:textId="77777777" w:rsidR="00AF2EDE" w:rsidRDefault="00AF2EDE">
      <w:pPr>
        <w:pStyle w:val="CommentText"/>
      </w:pPr>
      <w:r>
        <w:rPr>
          <w:rStyle w:val="CommentReference"/>
        </w:rPr>
        <w:annotationRef/>
      </w:r>
      <w:r>
        <w:t>Page number</w:t>
      </w:r>
    </w:p>
  </w:comment>
  <w:comment w:id="7" w:author="Author" w:initials="A">
    <w:p w14:paraId="77F25D56" w14:textId="77777777" w:rsidR="000C348E" w:rsidRDefault="000C348E">
      <w:pPr>
        <w:pStyle w:val="CommentText"/>
      </w:pPr>
      <w:r>
        <w:rPr>
          <w:rStyle w:val="CommentReference"/>
        </w:rPr>
        <w:annotationRef/>
      </w:r>
      <w:r w:rsidR="006C75FD">
        <w:t>The verbs in this sentence are not imperfective</w:t>
      </w:r>
    </w:p>
  </w:comment>
  <w:comment w:id="8" w:author="Author" w:initials="A">
    <w:p w14:paraId="27F3AE65" w14:textId="77777777" w:rsidR="006C75FD" w:rsidRDefault="006C75FD">
      <w:pPr>
        <w:pStyle w:val="CommentText"/>
      </w:pPr>
      <w:r>
        <w:rPr>
          <w:rStyle w:val="CommentReference"/>
        </w:rPr>
        <w:annotationRef/>
      </w:r>
      <w:r>
        <w:t>Separate the habitual marker from the verb root by a dash. Correct formatting issues.</w:t>
      </w:r>
    </w:p>
  </w:comment>
  <w:comment w:id="9" w:author="Author" w:initials="A">
    <w:p w14:paraId="4A761FCC" w14:textId="77777777" w:rsidR="006C75FD" w:rsidRPr="006C75FD" w:rsidRDefault="006C75FD" w:rsidP="006C75FD">
      <w:pPr>
        <w:pStyle w:val="CommentText"/>
        <w:ind w:left="0" w:firstLine="0"/>
        <w:rPr>
          <w:i/>
        </w:rPr>
      </w:pPr>
      <w:r>
        <w:rPr>
          <w:rStyle w:val="CommentReference"/>
        </w:rPr>
        <w:annotationRef/>
      </w:r>
      <w:r>
        <w:t xml:space="preserve">The conventional gloss for </w:t>
      </w:r>
      <w:proofErr w:type="spellStart"/>
      <w:r>
        <w:t>k</w:t>
      </w:r>
      <w:r>
        <w:rPr>
          <w:rFonts w:ascii="Doulos SIL" w:hAnsi="Doulos SIL" w:cs="Doulos SIL"/>
        </w:rPr>
        <w:t>ɛ</w:t>
      </w:r>
      <w:proofErr w:type="spellEnd"/>
      <w:r>
        <w:t xml:space="preserve"> is ‘take’ or ‘move’. You should explain why you gloss it OBJ, presumably object? Also, why is </w:t>
      </w:r>
      <w:proofErr w:type="spellStart"/>
      <w:r>
        <w:rPr>
          <w:i/>
        </w:rPr>
        <w:t>ba</w:t>
      </w:r>
      <w:proofErr w:type="spellEnd"/>
      <w:r>
        <w:rPr>
          <w:i/>
        </w:rPr>
        <w:t xml:space="preserve"> </w:t>
      </w:r>
      <w:r>
        <w:t xml:space="preserve">glossed as PP? Also, check gloss for </w:t>
      </w:r>
      <w:proofErr w:type="spellStart"/>
      <w:r>
        <w:rPr>
          <w:i/>
        </w:rPr>
        <w:t>tao</w:t>
      </w:r>
      <w:proofErr w:type="spellEnd"/>
      <w:r>
        <w:rPr>
          <w:i/>
        </w:rPr>
        <w:t>.</w:t>
      </w:r>
    </w:p>
  </w:comment>
  <w:comment w:id="10" w:author="Author" w:initials="A">
    <w:p w14:paraId="30AEBD69" w14:textId="77777777" w:rsidR="006C75FD" w:rsidRDefault="006C75FD">
      <w:pPr>
        <w:pStyle w:val="CommentText"/>
      </w:pPr>
      <w:r>
        <w:rPr>
          <w:rStyle w:val="CommentReference"/>
        </w:rPr>
        <w:annotationRef/>
      </w:r>
      <w:proofErr w:type="spellStart"/>
      <w:r>
        <w:t>Dakubu</w:t>
      </w:r>
      <w:proofErr w:type="spellEnd"/>
      <w:r>
        <w:t xml:space="preserve"> was first to observe this. Adjei (1999) also said something similar. Please cite</w:t>
      </w:r>
    </w:p>
  </w:comment>
  <w:comment w:id="11" w:author="Author" w:initials="A">
    <w:p w14:paraId="3AA538FD" w14:textId="77777777" w:rsidR="00182436" w:rsidRPr="00182436" w:rsidRDefault="00182436">
      <w:pPr>
        <w:pStyle w:val="CommentText"/>
      </w:pPr>
      <w:r>
        <w:rPr>
          <w:rStyle w:val="CommentReference"/>
        </w:rPr>
        <w:annotationRef/>
      </w:r>
      <w:r>
        <w:t xml:space="preserve">You should have one example without </w:t>
      </w:r>
      <w:proofErr w:type="spellStart"/>
      <w:r>
        <w:rPr>
          <w:i/>
        </w:rPr>
        <w:t>k</w:t>
      </w:r>
      <w:r>
        <w:rPr>
          <w:rFonts w:ascii="Doulos SIL" w:hAnsi="Doulos SIL" w:cs="Doulos SIL"/>
          <w:i/>
        </w:rPr>
        <w:t>ɛ</w:t>
      </w:r>
      <w:proofErr w:type="spellEnd"/>
      <w:r>
        <w:rPr>
          <w:i/>
        </w:rPr>
        <w:t xml:space="preserve"> </w:t>
      </w:r>
      <w:r>
        <w:t>at all. That is also possible</w:t>
      </w:r>
    </w:p>
  </w:comment>
  <w:comment w:id="12" w:author="Author" w:initials="A">
    <w:p w14:paraId="6F882590" w14:textId="77777777" w:rsidR="00182436" w:rsidRDefault="00182436">
      <w:pPr>
        <w:pStyle w:val="CommentText"/>
      </w:pPr>
      <w:r>
        <w:rPr>
          <w:rStyle w:val="CommentReference"/>
        </w:rPr>
        <w:annotationRef/>
      </w:r>
      <w:r>
        <w:t>Delete PP</w:t>
      </w:r>
    </w:p>
  </w:comment>
  <w:comment w:id="13" w:author="Author" w:initials="A">
    <w:p w14:paraId="5515F57B" w14:textId="77777777" w:rsidR="00D56341" w:rsidRDefault="00D56341">
      <w:pPr>
        <w:pStyle w:val="CommentText"/>
      </w:pPr>
      <w:r>
        <w:rPr>
          <w:rStyle w:val="CommentReference"/>
        </w:rPr>
        <w:annotationRef/>
      </w:r>
      <w:r>
        <w:t xml:space="preserve">Adjei (1999) has the same example as grammatical. Some speakers think it is fine. </w:t>
      </w:r>
    </w:p>
  </w:comment>
  <w:comment w:id="14" w:author="Author" w:initials="A">
    <w:p w14:paraId="46774660" w14:textId="77777777" w:rsidR="00D56341" w:rsidRDefault="00D56341">
      <w:pPr>
        <w:pStyle w:val="CommentText"/>
      </w:pPr>
      <w:r>
        <w:rPr>
          <w:rStyle w:val="CommentReference"/>
        </w:rPr>
        <w:annotationRef/>
      </w:r>
      <w:r>
        <w:t>Better to use SBJV as SUBJ often refers to “subject”. The subjunctive is marked on the pronoun, not the verb</w:t>
      </w:r>
    </w:p>
  </w:comment>
  <w:comment w:id="15" w:author="Author" w:initials="A">
    <w:p w14:paraId="68D3B0C8" w14:textId="77777777" w:rsidR="00D56341" w:rsidRDefault="00D56341">
      <w:pPr>
        <w:pStyle w:val="CommentText"/>
      </w:pPr>
      <w:r>
        <w:rPr>
          <w:rStyle w:val="CommentReference"/>
        </w:rPr>
        <w:annotationRef/>
      </w:r>
      <w:proofErr w:type="spellStart"/>
      <w:r>
        <w:t>Dakubu</w:t>
      </w:r>
      <w:proofErr w:type="spellEnd"/>
      <w:r>
        <w:t xml:space="preserve"> </w:t>
      </w:r>
      <w:r w:rsidR="009E6402">
        <w:t xml:space="preserve">1970, 1993, 1994, </w:t>
      </w:r>
      <w:r>
        <w:t xml:space="preserve">1999 </w:t>
      </w:r>
      <w:r w:rsidR="009E6402">
        <w:t>are</w:t>
      </w:r>
      <w:r>
        <w:t xml:space="preserve"> missing</w:t>
      </w:r>
      <w:r w:rsidR="007D018E">
        <w:t xml:space="preserve">. So is </w:t>
      </w:r>
      <w:proofErr w:type="spellStart"/>
      <w:r w:rsidR="007D018E">
        <w:t>Nileegb</w:t>
      </w:r>
      <w:r w:rsidR="007D018E">
        <w:rPr>
          <w:rFonts w:ascii="Doulos SIL" w:hAnsi="Doulos SIL" w:cs="Doulos SIL"/>
        </w:rPr>
        <w:t>ɛ</w:t>
      </w:r>
      <w:proofErr w:type="spellEnd"/>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2C5CBFF0" w15:done="0"/>
  <w15:commentEx w15:paraId="7D3C19E0" w15:done="0"/>
  <w15:commentEx w15:paraId="05B98F5A" w15:done="0"/>
  <w15:commentEx w15:paraId="3ABD359B" w15:done="0"/>
  <w15:commentEx w15:paraId="07BE40D9" w15:done="0"/>
  <w15:commentEx w15:paraId="28CA6787" w15:done="0"/>
  <w15:commentEx w15:paraId="77F25D56" w15:done="0"/>
  <w15:commentEx w15:paraId="27F3AE65" w15:done="0"/>
  <w15:commentEx w15:paraId="4A761FCC" w15:done="0"/>
  <w15:commentEx w15:paraId="30AEBD69" w15:done="0"/>
  <w15:commentEx w15:paraId="3AA538FD" w15:done="0"/>
  <w15:commentEx w15:paraId="6F882590" w15:done="0"/>
  <w15:commentEx w15:paraId="5515F57B" w15:done="0"/>
  <w15:commentEx w15:paraId="46774660" w15:done="0"/>
  <w15:commentEx w15:paraId="68D3B0C8"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2C5CBFF0" w16cid:durableId="1F0C0A6A"/>
  <w16cid:commentId w16cid:paraId="7D3C19E0" w16cid:durableId="1F0C0C31"/>
  <w16cid:commentId w16cid:paraId="05B98F5A" w16cid:durableId="1F0C0DEB"/>
  <w16cid:commentId w16cid:paraId="3ABD359B" w16cid:durableId="1F0C0E95"/>
  <w16cid:commentId w16cid:paraId="07BE40D9" w16cid:durableId="1F0C0F20"/>
  <w16cid:commentId w16cid:paraId="28CA6787" w16cid:durableId="1F0C0ED7"/>
  <w16cid:commentId w16cid:paraId="77F25D56" w16cid:durableId="1F0C13D3"/>
  <w16cid:commentId w16cid:paraId="27F3AE65" w16cid:durableId="1F0C1409"/>
  <w16cid:commentId w16cid:paraId="4A761FCC" w16cid:durableId="1F0C14ED"/>
  <w16cid:commentId w16cid:paraId="30AEBD69" w16cid:durableId="1F0C15B6"/>
  <w16cid:commentId w16cid:paraId="3AA538FD" w16cid:durableId="1F0C167A"/>
  <w16cid:commentId w16cid:paraId="6F882590" w16cid:durableId="1F0C16A4"/>
  <w16cid:commentId w16cid:paraId="5515F57B" w16cid:durableId="1F0C18C5"/>
  <w16cid:commentId w16cid:paraId="46774660" w16cid:durableId="1F0C1948"/>
  <w16cid:commentId w16cid:paraId="68D3B0C8" w16cid:durableId="1F0C1A7E"/>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A92A6D1" w14:textId="77777777" w:rsidR="008D6AE5" w:rsidRDefault="008D6AE5">
      <w:pPr>
        <w:spacing w:after="0" w:line="240" w:lineRule="auto"/>
      </w:pPr>
      <w:r>
        <w:separator/>
      </w:r>
    </w:p>
  </w:endnote>
  <w:endnote w:type="continuationSeparator" w:id="0">
    <w:p w14:paraId="7DBB7166" w14:textId="77777777" w:rsidR="008D6AE5" w:rsidRDefault="008D6A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Doulos SIL">
    <w:panose1 w:val="02000500070000020004"/>
    <w:charset w:val="00"/>
    <w:family w:val="auto"/>
    <w:pitch w:val="variable"/>
    <w:sig w:usb0="A00002FF" w:usb1="5200E1FF" w:usb2="02000029" w:usb3="00000000" w:csb0="00000197"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672E64" w14:textId="77777777" w:rsidR="0049404C" w:rsidRDefault="00DF61EA">
    <w:pPr>
      <w:spacing w:after="0"/>
      <w:ind w:left="1" w:firstLine="0"/>
      <w:jc w:val="center"/>
    </w:pPr>
    <w:r>
      <w:rPr>
        <w:sz w:val="22"/>
      </w:rPr>
      <w:t>-</w:t>
    </w:r>
    <w:r>
      <w:rPr>
        <w:sz w:val="22"/>
      </w:rPr>
      <w:fldChar w:fldCharType="begin"/>
    </w:r>
    <w:r>
      <w:rPr>
        <w:sz w:val="22"/>
      </w:rPr>
      <w:instrText xml:space="preserve"> PAGE   \* MERGEFORMAT </w:instrText>
    </w:r>
    <w:r>
      <w:rPr>
        <w:sz w:val="22"/>
      </w:rPr>
      <w:fldChar w:fldCharType="separate"/>
    </w:r>
    <w:r>
      <w:rPr>
        <w:sz w:val="22"/>
      </w:rPr>
      <w:t>1</w:t>
    </w:r>
    <w:r>
      <w:rPr>
        <w:sz w:val="22"/>
      </w:rPr>
      <w:fldChar w:fldCharType="end"/>
    </w:r>
    <w:r>
      <w:rPr>
        <w:sz w:val="22"/>
      </w:rPr>
      <w:t xml:space="preserve">- </w:t>
    </w:r>
  </w:p>
  <w:p w14:paraId="206B9F81" w14:textId="77777777" w:rsidR="0049404C" w:rsidRDefault="00DF61EA">
    <w:pPr>
      <w:spacing w:after="0"/>
      <w:ind w:left="0" w:firstLine="0"/>
      <w:jc w:val="left"/>
    </w:pPr>
    <w:r>
      <w:rPr>
        <w:rFonts w:ascii="Calibri" w:eastAsia="Calibri" w:hAnsi="Calibri" w:cs="Calibri"/>
        <w:sz w:val="22"/>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084DDA4" w14:textId="77777777" w:rsidR="0049404C" w:rsidRDefault="00DF61EA">
    <w:pPr>
      <w:spacing w:after="0"/>
      <w:ind w:left="1" w:firstLine="0"/>
      <w:jc w:val="center"/>
    </w:pPr>
    <w:r>
      <w:rPr>
        <w:sz w:val="22"/>
      </w:rPr>
      <w:t>-</w:t>
    </w:r>
    <w:r>
      <w:rPr>
        <w:sz w:val="22"/>
      </w:rPr>
      <w:fldChar w:fldCharType="begin"/>
    </w:r>
    <w:r>
      <w:rPr>
        <w:sz w:val="22"/>
      </w:rPr>
      <w:instrText xml:space="preserve"> PAGE   \* MERGEFORMAT </w:instrText>
    </w:r>
    <w:r>
      <w:rPr>
        <w:sz w:val="22"/>
      </w:rPr>
      <w:fldChar w:fldCharType="separate"/>
    </w:r>
    <w:r>
      <w:rPr>
        <w:sz w:val="22"/>
      </w:rPr>
      <w:t>1</w:t>
    </w:r>
    <w:r>
      <w:rPr>
        <w:sz w:val="22"/>
      </w:rPr>
      <w:fldChar w:fldCharType="end"/>
    </w:r>
    <w:r>
      <w:rPr>
        <w:sz w:val="22"/>
      </w:rPr>
      <w:t xml:space="preserve">- </w:t>
    </w:r>
  </w:p>
  <w:p w14:paraId="4437AE06" w14:textId="77777777" w:rsidR="0049404C" w:rsidRDefault="00DF61EA">
    <w:pPr>
      <w:spacing w:after="0"/>
      <w:ind w:left="0" w:firstLine="0"/>
      <w:jc w:val="left"/>
    </w:pPr>
    <w:r>
      <w:rPr>
        <w:rFonts w:ascii="Calibri" w:eastAsia="Calibri" w:hAnsi="Calibri" w:cs="Calibri"/>
        <w:sz w:val="22"/>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9467221" w14:textId="77777777" w:rsidR="0049404C" w:rsidRDefault="00DF61EA">
    <w:pPr>
      <w:spacing w:after="0"/>
      <w:ind w:left="1" w:firstLine="0"/>
      <w:jc w:val="center"/>
    </w:pPr>
    <w:r>
      <w:rPr>
        <w:sz w:val="22"/>
      </w:rPr>
      <w:t>-</w:t>
    </w:r>
    <w:r>
      <w:rPr>
        <w:sz w:val="22"/>
      </w:rPr>
      <w:fldChar w:fldCharType="begin"/>
    </w:r>
    <w:r>
      <w:rPr>
        <w:sz w:val="22"/>
      </w:rPr>
      <w:instrText xml:space="preserve"> PAGE   \* MERGEFORMAT </w:instrText>
    </w:r>
    <w:r>
      <w:rPr>
        <w:sz w:val="22"/>
      </w:rPr>
      <w:fldChar w:fldCharType="separate"/>
    </w:r>
    <w:r>
      <w:rPr>
        <w:sz w:val="22"/>
      </w:rPr>
      <w:t>1</w:t>
    </w:r>
    <w:r>
      <w:rPr>
        <w:sz w:val="22"/>
      </w:rPr>
      <w:fldChar w:fldCharType="end"/>
    </w:r>
    <w:r>
      <w:rPr>
        <w:sz w:val="22"/>
      </w:rPr>
      <w:t xml:space="preserve">- </w:t>
    </w:r>
  </w:p>
  <w:p w14:paraId="1E954CFC" w14:textId="77777777" w:rsidR="0049404C" w:rsidRDefault="00DF61EA">
    <w:pPr>
      <w:spacing w:after="0"/>
      <w:ind w:left="0" w:firstLine="0"/>
      <w:jc w:val="left"/>
    </w:pPr>
    <w:r>
      <w:rPr>
        <w:rFonts w:ascii="Calibri" w:eastAsia="Calibri" w:hAnsi="Calibri" w:cs="Calibri"/>
        <w:sz w:val="22"/>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9E045F9" w14:textId="77777777" w:rsidR="008D6AE5" w:rsidRDefault="008D6AE5">
      <w:pPr>
        <w:spacing w:after="0"/>
        <w:ind w:left="0" w:firstLine="0"/>
        <w:jc w:val="left"/>
      </w:pPr>
      <w:r>
        <w:separator/>
      </w:r>
    </w:p>
  </w:footnote>
  <w:footnote w:type="continuationSeparator" w:id="0">
    <w:p w14:paraId="586A5FC5" w14:textId="77777777" w:rsidR="008D6AE5" w:rsidRDefault="008D6AE5">
      <w:pPr>
        <w:spacing w:after="0"/>
        <w:ind w:left="0" w:firstLine="0"/>
        <w:jc w:val="left"/>
      </w:pPr>
      <w:r>
        <w:continuationSeparator/>
      </w:r>
    </w:p>
  </w:footnote>
  <w:footnote w:id="1">
    <w:p w14:paraId="49FDB765" w14:textId="77777777" w:rsidR="0049404C" w:rsidRDefault="00DF61EA">
      <w:pPr>
        <w:pStyle w:val="footnotedescription"/>
      </w:pPr>
      <w:r>
        <w:rPr>
          <w:rStyle w:val="footnotemark"/>
        </w:rPr>
        <w:footnoteRef/>
      </w:r>
      <w:r>
        <w:t xml:space="preserve"> The examples in 5) are from Adjei (1999).</w:t>
      </w:r>
      <w:r>
        <w:rPr>
          <w:rFonts w:ascii="Calibri" w:eastAsia="Calibri" w:hAnsi="Calibri" w:cs="Calibri"/>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08786A"/>
    <w:multiLevelType w:val="hybridMultilevel"/>
    <w:tmpl w:val="9B8CE3FA"/>
    <w:lvl w:ilvl="0" w:tplc="7F346688">
      <w:start w:val="1"/>
      <w:numFmt w:val="lowerLetter"/>
      <w:lvlText w:val="%1."/>
      <w:lvlJc w:val="left"/>
      <w:pPr>
        <w:ind w:left="11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C2626E0">
      <w:start w:val="1"/>
      <w:numFmt w:val="lowerLetter"/>
      <w:lvlText w:val="%2"/>
      <w:lvlJc w:val="left"/>
      <w:pPr>
        <w:ind w:left="22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FCAF9BE">
      <w:start w:val="1"/>
      <w:numFmt w:val="lowerRoman"/>
      <w:lvlText w:val="%3"/>
      <w:lvlJc w:val="left"/>
      <w:pPr>
        <w:ind w:left="29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AFC4E5C">
      <w:start w:val="1"/>
      <w:numFmt w:val="decimal"/>
      <w:lvlText w:val="%4"/>
      <w:lvlJc w:val="left"/>
      <w:pPr>
        <w:ind w:left="37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39E611C">
      <w:start w:val="1"/>
      <w:numFmt w:val="lowerLetter"/>
      <w:lvlText w:val="%5"/>
      <w:lvlJc w:val="left"/>
      <w:pPr>
        <w:ind w:left="44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9ACDE68">
      <w:start w:val="1"/>
      <w:numFmt w:val="lowerRoman"/>
      <w:lvlText w:val="%6"/>
      <w:lvlJc w:val="left"/>
      <w:pPr>
        <w:ind w:left="51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7384988">
      <w:start w:val="1"/>
      <w:numFmt w:val="decimal"/>
      <w:lvlText w:val="%7"/>
      <w:lvlJc w:val="left"/>
      <w:pPr>
        <w:ind w:left="58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B04036E">
      <w:start w:val="1"/>
      <w:numFmt w:val="lowerLetter"/>
      <w:lvlText w:val="%8"/>
      <w:lvlJc w:val="left"/>
      <w:pPr>
        <w:ind w:left="65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04820B0">
      <w:start w:val="1"/>
      <w:numFmt w:val="lowerRoman"/>
      <w:lvlText w:val="%9"/>
      <w:lvlJc w:val="left"/>
      <w:pPr>
        <w:ind w:left="73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3E701032"/>
    <w:multiLevelType w:val="multilevel"/>
    <w:tmpl w:val="11507536"/>
    <w:lvl w:ilvl="0">
      <w:start w:val="2"/>
      <w:numFmt w:val="decimal"/>
      <w:lvlText w:val="%1"/>
      <w:lvlJc w:val="left"/>
      <w:pPr>
        <w:ind w:left="3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numFmt w:val="decimal"/>
      <w:lvlRestart w:val="0"/>
      <w:lvlText w:val="%1.%2"/>
      <w:lvlJc w:val="left"/>
      <w:pPr>
        <w:ind w:left="10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779A0FFF"/>
    <w:multiLevelType w:val="hybridMultilevel"/>
    <w:tmpl w:val="A2D8C32A"/>
    <w:lvl w:ilvl="0" w:tplc="DBEEB880">
      <w:start w:val="1"/>
      <w:numFmt w:val="decimal"/>
      <w:lvlText w:val="%1)"/>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828F494">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D86053E">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4C8F316">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E78C96E">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2885D64">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02C9802">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F7AE0A2">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C66E300">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removePersonalInformation/>
  <w:removeDateAndTime/>
  <w:proofState w:spelling="clean"/>
  <w:defaultTabStop w:val="720"/>
  <w:characterSpacingControl w:val="doNotCompress"/>
  <w:hdrShapeDefaults>
    <o:shapedefaults v:ext="edit" spidmax="2049"/>
  </w:hdrShapeDefaults>
  <w:footnotePr>
    <w:numRestart w:val="eachPage"/>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404C"/>
    <w:rsid w:val="000C348E"/>
    <w:rsid w:val="00117907"/>
    <w:rsid w:val="00182436"/>
    <w:rsid w:val="0049404C"/>
    <w:rsid w:val="00527F7A"/>
    <w:rsid w:val="00580C7F"/>
    <w:rsid w:val="00655418"/>
    <w:rsid w:val="006C75FD"/>
    <w:rsid w:val="00744657"/>
    <w:rsid w:val="00766438"/>
    <w:rsid w:val="007D018E"/>
    <w:rsid w:val="007D6FA9"/>
    <w:rsid w:val="008D6AE5"/>
    <w:rsid w:val="008F7050"/>
    <w:rsid w:val="00947763"/>
    <w:rsid w:val="009E6402"/>
    <w:rsid w:val="00AD0AC1"/>
    <w:rsid w:val="00AE43B1"/>
    <w:rsid w:val="00AF2EDE"/>
    <w:rsid w:val="00C0033B"/>
    <w:rsid w:val="00D56341"/>
    <w:rsid w:val="00DF61EA"/>
    <w:rsid w:val="00E05B10"/>
    <w:rsid w:val="00E41FF6"/>
    <w:rsid w:val="00F236D2"/>
    <w:rsid w:val="00F52D3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FB5BD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4"/>
      <w:ind w:left="10" w:hanging="10"/>
      <w:jc w:val="both"/>
    </w:pPr>
    <w:rPr>
      <w:rFonts w:ascii="Times New Roman" w:eastAsia="Times New Roman" w:hAnsi="Times New Roman" w:cs="Times New Roman"/>
      <w:color w:val="000000"/>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otnotedescription">
    <w:name w:val="footnote description"/>
    <w:next w:val="Normal"/>
    <w:link w:val="footnotedescriptionChar"/>
    <w:hidden/>
    <w:pPr>
      <w:spacing w:after="0"/>
    </w:pPr>
    <w:rPr>
      <w:rFonts w:ascii="Times New Roman" w:eastAsia="Times New Roman" w:hAnsi="Times New Roman" w:cs="Times New Roman"/>
      <w:color w:val="000000"/>
      <w:sz w:val="20"/>
    </w:rPr>
  </w:style>
  <w:style w:type="character" w:customStyle="1" w:styleId="footnotedescriptionChar">
    <w:name w:val="footnote description Char"/>
    <w:link w:val="footnotedescription"/>
    <w:rPr>
      <w:rFonts w:ascii="Times New Roman" w:eastAsia="Times New Roman" w:hAnsi="Times New Roman" w:cs="Times New Roman"/>
      <w:color w:val="000000"/>
      <w:sz w:val="20"/>
    </w:rPr>
  </w:style>
  <w:style w:type="character" w:customStyle="1" w:styleId="footnotemark">
    <w:name w:val="footnote mark"/>
    <w:hidden/>
    <w:rPr>
      <w:rFonts w:ascii="Calibri" w:eastAsia="Calibri" w:hAnsi="Calibri" w:cs="Calibri"/>
      <w:color w:val="000000"/>
      <w:sz w:val="20"/>
      <w:vertAlign w:val="superscript"/>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766438"/>
    <w:pPr>
      <w:ind w:left="720"/>
      <w:contextualSpacing/>
    </w:pPr>
  </w:style>
  <w:style w:type="paragraph" w:styleId="BalloonText">
    <w:name w:val="Balloon Text"/>
    <w:basedOn w:val="Normal"/>
    <w:link w:val="BalloonTextChar"/>
    <w:uiPriority w:val="99"/>
    <w:semiHidden/>
    <w:unhideWhenUsed/>
    <w:rsid w:val="00AD0AC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D0AC1"/>
    <w:rPr>
      <w:rFonts w:ascii="Segoe UI" w:eastAsia="Times New Roman" w:hAnsi="Segoe UI" w:cs="Segoe UI"/>
      <w:color w:val="000000"/>
      <w:sz w:val="18"/>
      <w:szCs w:val="18"/>
    </w:rPr>
  </w:style>
  <w:style w:type="paragraph" w:styleId="Header">
    <w:name w:val="header"/>
    <w:basedOn w:val="Normal"/>
    <w:link w:val="HeaderChar"/>
    <w:uiPriority w:val="99"/>
    <w:unhideWhenUsed/>
    <w:rsid w:val="00AD0AC1"/>
    <w:pPr>
      <w:tabs>
        <w:tab w:val="center" w:pos="4680"/>
        <w:tab w:val="right" w:pos="9360"/>
      </w:tabs>
      <w:spacing w:after="0" w:line="240" w:lineRule="auto"/>
    </w:pPr>
  </w:style>
  <w:style w:type="character" w:customStyle="1" w:styleId="HeaderChar">
    <w:name w:val="Header Char"/>
    <w:basedOn w:val="DefaultParagraphFont"/>
    <w:link w:val="Header"/>
    <w:uiPriority w:val="99"/>
    <w:rsid w:val="00AD0AC1"/>
    <w:rPr>
      <w:rFonts w:ascii="Times New Roman" w:eastAsia="Times New Roman" w:hAnsi="Times New Roman" w:cs="Times New Roman"/>
      <w:color w:val="000000"/>
      <w:sz w:val="24"/>
    </w:rPr>
  </w:style>
  <w:style w:type="character" w:styleId="CommentReference">
    <w:name w:val="annotation reference"/>
    <w:basedOn w:val="DefaultParagraphFont"/>
    <w:uiPriority w:val="99"/>
    <w:semiHidden/>
    <w:unhideWhenUsed/>
    <w:rsid w:val="00E05B10"/>
    <w:rPr>
      <w:sz w:val="16"/>
      <w:szCs w:val="16"/>
    </w:rPr>
  </w:style>
  <w:style w:type="paragraph" w:styleId="CommentText">
    <w:name w:val="annotation text"/>
    <w:basedOn w:val="Normal"/>
    <w:link w:val="CommentTextChar"/>
    <w:uiPriority w:val="99"/>
    <w:semiHidden/>
    <w:unhideWhenUsed/>
    <w:rsid w:val="00E05B10"/>
    <w:pPr>
      <w:spacing w:line="240" w:lineRule="auto"/>
    </w:pPr>
    <w:rPr>
      <w:sz w:val="20"/>
      <w:szCs w:val="20"/>
    </w:rPr>
  </w:style>
  <w:style w:type="character" w:customStyle="1" w:styleId="CommentTextChar">
    <w:name w:val="Comment Text Char"/>
    <w:basedOn w:val="DefaultParagraphFont"/>
    <w:link w:val="CommentText"/>
    <w:uiPriority w:val="99"/>
    <w:semiHidden/>
    <w:rsid w:val="00E05B10"/>
    <w:rPr>
      <w:rFonts w:ascii="Times New Roman" w:eastAsia="Times New Roman" w:hAnsi="Times New Roman" w:cs="Times New Roman"/>
      <w:color w:val="000000"/>
      <w:sz w:val="20"/>
      <w:szCs w:val="20"/>
    </w:rPr>
  </w:style>
  <w:style w:type="paragraph" w:styleId="CommentSubject">
    <w:name w:val="annotation subject"/>
    <w:basedOn w:val="CommentText"/>
    <w:next w:val="CommentText"/>
    <w:link w:val="CommentSubjectChar"/>
    <w:uiPriority w:val="99"/>
    <w:semiHidden/>
    <w:unhideWhenUsed/>
    <w:rsid w:val="00E05B10"/>
    <w:rPr>
      <w:b/>
      <w:bCs/>
    </w:rPr>
  </w:style>
  <w:style w:type="character" w:customStyle="1" w:styleId="CommentSubjectChar">
    <w:name w:val="Comment Subject Char"/>
    <w:basedOn w:val="CommentTextChar"/>
    <w:link w:val="CommentSubject"/>
    <w:uiPriority w:val="99"/>
    <w:semiHidden/>
    <w:rsid w:val="00E05B10"/>
    <w:rPr>
      <w:rFonts w:ascii="Times New Roman" w:eastAsia="Times New Roman" w:hAnsi="Times New Roman" w:cs="Times New Roman"/>
      <w:b/>
      <w:bCs/>
      <w:color w:val="000000"/>
      <w:sz w:val="20"/>
      <w:szCs w:val="20"/>
    </w:rPr>
  </w:style>
  <w:style w:type="paragraph" w:styleId="NoSpacing">
    <w:name w:val="No Spacing"/>
    <w:uiPriority w:val="1"/>
    <w:qFormat/>
    <w:rsid w:val="00527F7A"/>
    <w:pPr>
      <w:spacing w:after="0" w:line="240" w:lineRule="auto"/>
      <w:ind w:left="10" w:hanging="10"/>
      <w:jc w:val="both"/>
    </w:pPr>
    <w:rPr>
      <w:rFonts w:ascii="Times New Roman" w:eastAsia="Times New Roman" w:hAnsi="Times New Roman" w:cs="Times New Roman"/>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3949502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307817-F05E-4A91-B3FA-C2A3CBB341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1976</Words>
  <Characters>11266</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2018-08-01T11:56:00Z</dcterms:created>
  <dcterms:modified xsi:type="dcterms:W3CDTF">2018-08-01T15:05:00Z</dcterms:modified>
</cp:coreProperties>
</file>