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F3C" w:rsidRDefault="00DE51F3">
      <w:r>
        <w:t xml:space="preserve">Review of ‘Bra, </w:t>
      </w:r>
      <w:proofErr w:type="spellStart"/>
      <w:r>
        <w:t>sɛn</w:t>
      </w:r>
      <w:proofErr w:type="spellEnd"/>
      <w:r>
        <w:t xml:space="preserve">, </w:t>
      </w:r>
      <w:proofErr w:type="spellStart"/>
      <w:r>
        <w:t>yɛnkɔ</w:t>
      </w:r>
      <w:proofErr w:type="spellEnd"/>
      <w:r>
        <w:t>’ …</w:t>
      </w:r>
    </w:p>
    <w:p w:rsidR="000A515E" w:rsidRDefault="000A515E">
      <w:r>
        <w:t xml:space="preserve">The topic is potentially very interesting, but in its present state I don’t think it is publishable in a journal that aims at an international readership. </w:t>
      </w:r>
      <w:r w:rsidR="00E065ED">
        <w:t>The main problem is that despite a theoretical review and some basic statistics, the author does not adequately define the problem, support the conclusions, and especially does not deal with relations between several statistical variables mentioned.</w:t>
      </w:r>
      <w:r w:rsidR="00212716">
        <w:t xml:space="preserve"> </w:t>
      </w:r>
      <w:bookmarkStart w:id="0" w:name="_GoBack"/>
      <w:bookmarkEnd w:id="0"/>
    </w:p>
    <w:p w:rsidR="00DE51F3" w:rsidRDefault="00DE51F3">
      <w:r>
        <w:t>1. General: Not everything in the introduction seems really relevant to the topic. The author should limit his/her general and theoretical discussion to works that are directly relevant to the linguistic situation and problems of the kind of migrants under discussion, namely rural-urban migrants with little or no education. Where they are relevant, the references should include page references in most cases.</w:t>
      </w:r>
    </w:p>
    <w:p w:rsidR="00DE51F3" w:rsidRDefault="00DE51F3">
      <w:r>
        <w:t>2. On the other hand, how is “migrant” defined? I notice 2</w:t>
      </w:r>
      <w:r w:rsidRPr="00DE51F3">
        <w:rPr>
          <w:vertAlign w:val="superscript"/>
        </w:rPr>
        <w:t>nd</w:t>
      </w:r>
      <w:r>
        <w:t xml:space="preserve"> generation migrants are included. Surely the situation of the youngest respondents who have grown up in and around Accra is very different from older migrants who were born and grew up elsewhere. I don’t see any consideration of age in the findings.</w:t>
      </w:r>
      <w:r w:rsidR="00FC0CCB">
        <w:t xml:space="preserve"> End of section 1.1 – how many are actually seasonal migrants, and how old are they?</w:t>
      </w:r>
    </w:p>
    <w:p w:rsidR="00FC0CCB" w:rsidRDefault="00FC0CCB">
      <w:r>
        <w:t>At the same time, section 2 discusses bilingualism but the logic of the argument is shaky. What the reader wants to know is the character of the bilingualism of the group under discussion, whether all the respondents have the same degree of bilingualism, whether the kind of bilingualism varies with age, time spent in Accra and/or Akan areas and any other relevant variables. This section does not seem to present any original ideas about bilingualism, is insufficiently focussed on the speakers investigated, many of whom seem to be adult learners, and the high degree of multilingualism in the environment, and much of it seems irrelevant. In other words it reads likely a rather cursory conversion of a thesis into an article.</w:t>
      </w:r>
    </w:p>
    <w:p w:rsidR="00DE51F3" w:rsidRDefault="00DE51F3">
      <w:r>
        <w:t xml:space="preserve">3. There are a number of inaccuracies and vague statements. At the beginning of 1.1 and later the </w:t>
      </w:r>
      <w:proofErr w:type="spellStart"/>
      <w:r>
        <w:t>kayayei</w:t>
      </w:r>
      <w:proofErr w:type="spellEnd"/>
      <w:r>
        <w:t xml:space="preserve"> are described as “head porters”. This is confusing to anybody not familiar with Ghanaian usage – a “head porter” normally means someone who is the head of a number of porters, not someone who carries things on her head. The meaning has to be made clear. Similarly, in the next paragraph, </w:t>
      </w:r>
      <w:proofErr w:type="spellStart"/>
      <w:r>
        <w:t>kayayei</w:t>
      </w:r>
      <w:proofErr w:type="spellEnd"/>
      <w:r>
        <w:t xml:space="preserve"> don’t carry “luggage”, which usually means suitcases and other travelling bags and boxes.</w:t>
      </w:r>
      <w:r w:rsidR="00FC0CCB">
        <w:t xml:space="preserve"> </w:t>
      </w:r>
    </w:p>
    <w:p w:rsidR="00FC0CCB" w:rsidRDefault="00FC0CCB">
      <w:r>
        <w:t xml:space="preserve">In section 3 paragraph 2 the migrants are said to be from the northern parts of Ghana. I am surprised if there are not a considerable number of Ewe in these communities. </w:t>
      </w:r>
    </w:p>
    <w:p w:rsidR="00FC0CCB" w:rsidRDefault="00FC0CCB">
      <w:r>
        <w:t xml:space="preserve">The e-waste dumped near Old </w:t>
      </w:r>
      <w:proofErr w:type="spellStart"/>
      <w:r>
        <w:t>Fadama</w:t>
      </w:r>
      <w:proofErr w:type="spellEnd"/>
      <w:r>
        <w:t xml:space="preserve"> is not necessarily from developed nations (para. 3) – Ghana contributes plenty of it.</w:t>
      </w:r>
    </w:p>
    <w:p w:rsidR="00FC0CCB" w:rsidRDefault="00FC0CCB">
      <w:r>
        <w:t>“a hot destination for fire outbreaks” – do fires have destinations? I think the author means the combination of wooden structures and faulty wiring means the area is prone to fire outbreaks.</w:t>
      </w:r>
    </w:p>
    <w:p w:rsidR="00A72764" w:rsidRDefault="00A72764">
      <w:r>
        <w:lastRenderedPageBreak/>
        <w:t>In the first paragraph of section 4, the author should know that “Mole-Dagbani” is not a language but a language family, and furthermore “Mole” is a misspelling.</w:t>
      </w:r>
    </w:p>
    <w:p w:rsidR="00A72764" w:rsidRDefault="00A72764">
      <w:r>
        <w:t>The account of age and education distribution is not useful if the findings are not related to it.</w:t>
      </w:r>
    </w:p>
    <w:p w:rsidR="00A72764" w:rsidRDefault="00A72764">
      <w:r>
        <w:t xml:space="preserve">Note that figure 2 does not show Place of Origin but Region of Origin. This is important – it could make a difference whether someone comes from Tamale or some small remote village in the Northern Region.  The author speaks of “seasonal migrants” here as it can be taken for granted that they are seasonal. The paragraph ends with a statement that “migration becomes one of the options…”  but there is no indication that the sample was surveyed to determine whether this is in fact why people migrate. </w:t>
      </w:r>
    </w:p>
    <w:p w:rsidR="00A72764" w:rsidRDefault="00A72764">
      <w:r>
        <w:t>The next paragraph talks about first time, second generation and permanent migrants, but where is this related to the linguistic abilities of the respondents?  In Table 2, “</w:t>
      </w:r>
      <w:proofErr w:type="spellStart"/>
      <w:r>
        <w:t>Sisala</w:t>
      </w:r>
      <w:proofErr w:type="spellEnd"/>
      <w:r>
        <w:t>/</w:t>
      </w:r>
      <w:proofErr w:type="spellStart"/>
      <w:r>
        <w:t>Dagaare</w:t>
      </w:r>
      <w:proofErr w:type="spellEnd"/>
      <w:r>
        <w:t>” combines two entirely different languages, and so does “</w:t>
      </w:r>
      <w:proofErr w:type="spellStart"/>
      <w:r>
        <w:t>Frafra</w:t>
      </w:r>
      <w:proofErr w:type="spellEnd"/>
      <w:r>
        <w:t>/</w:t>
      </w:r>
      <w:proofErr w:type="spellStart"/>
      <w:r>
        <w:t>Dagaati</w:t>
      </w:r>
      <w:proofErr w:type="spellEnd"/>
      <w:r>
        <w:t xml:space="preserve">” – and </w:t>
      </w:r>
      <w:proofErr w:type="spellStart"/>
      <w:r>
        <w:t>Dagaati</w:t>
      </w:r>
      <w:proofErr w:type="spellEnd"/>
      <w:r>
        <w:t xml:space="preserve"> is just a misspelling for </w:t>
      </w:r>
      <w:proofErr w:type="spellStart"/>
      <w:r>
        <w:t>Dagaare</w:t>
      </w:r>
      <w:proofErr w:type="spellEnd"/>
      <w:r>
        <w:t>. Only the Frequency and Percent columns of this table matter. The figure showing L1 distribution is invalidated for these reasons.</w:t>
      </w:r>
      <w:r w:rsidR="00535AFB">
        <w:t xml:space="preserve"> In the subsequent discussion the author seems to assume that Akan is “the language of the market”, but this should have been stated, with reasons, in the Introduction, since it is part of the problem being investigated.</w:t>
      </w:r>
    </w:p>
    <w:p w:rsidR="00535AFB" w:rsidRDefault="00535AFB">
      <w:r>
        <w:t xml:space="preserve">Under Coping Strategies (5.3) the author claims that “some migrants employ sign language” – does s/he really mean sign language, which is an actual language, or just gestures? This whole section is too anecdotal. </w:t>
      </w:r>
    </w:p>
    <w:p w:rsidR="00535AFB" w:rsidRDefault="00535AFB">
      <w:r>
        <w:t xml:space="preserve">More vague statements: paragraph 6 says a new porter will always be with “the sister” – what exactly is meant? Surely not an actual sibling. I can guess what the author means, but this is supposed to be an international journal.  Next paragraph: the </w:t>
      </w:r>
      <w:proofErr w:type="spellStart"/>
      <w:r>
        <w:t>Ashantis</w:t>
      </w:r>
      <w:proofErr w:type="spellEnd"/>
      <w:r>
        <w:t xml:space="preserve"> are “the largest speakers of the dominant dialect (Twi)…” – are </w:t>
      </w:r>
      <w:proofErr w:type="spellStart"/>
      <w:r>
        <w:t>Ashantis</w:t>
      </w:r>
      <w:proofErr w:type="spellEnd"/>
      <w:r>
        <w:t xml:space="preserve"> fatter or taller than everybody else? And any linguist worth his/her salt should know that Twi is not a dialect of Akan but a term that covers several dialects.  The expressions “the most popular and waiting-to-be-heard Akan word </w:t>
      </w:r>
      <w:proofErr w:type="gramStart"/>
      <w:r>
        <w:rPr>
          <w:i/>
        </w:rPr>
        <w:t>bra</w:t>
      </w:r>
      <w:r>
        <w:t>..</w:t>
      </w:r>
      <w:proofErr w:type="gramEnd"/>
      <w:r>
        <w:t xml:space="preserve">” is quite funny </w:t>
      </w:r>
      <w:r w:rsidR="000A515E">
        <w:t>–</w:t>
      </w:r>
      <w:r>
        <w:t xml:space="preserve"> </w:t>
      </w:r>
      <w:r w:rsidR="000A515E">
        <w:t>“</w:t>
      </w:r>
      <w:r>
        <w:t>waiting-to-be-heard</w:t>
      </w:r>
      <w:r w:rsidR="000A515E">
        <w:t xml:space="preserve">” in this context </w:t>
      </w:r>
      <w:r>
        <w:t xml:space="preserve"> is a new expression to me.</w:t>
      </w:r>
    </w:p>
    <w:p w:rsidR="00E065ED" w:rsidRDefault="00E065ED">
      <w:r>
        <w:t>“GHC1” needs translation!</w:t>
      </w:r>
    </w:p>
    <w:p w:rsidR="000A515E" w:rsidRDefault="000A515E">
      <w:r>
        <w:t>The rest of this section may well be valid, but the case for Tables 5 and 6 is not well expressed, so it loses impact.</w:t>
      </w:r>
    </w:p>
    <w:p w:rsidR="00535AFB" w:rsidRDefault="000A515E">
      <w:r>
        <w:t xml:space="preserve">The author refers to </w:t>
      </w:r>
      <w:proofErr w:type="spellStart"/>
      <w:r>
        <w:t>Kropp</w:t>
      </w:r>
      <w:proofErr w:type="spellEnd"/>
      <w:r>
        <w:t xml:space="preserve"> </w:t>
      </w:r>
      <w:proofErr w:type="spellStart"/>
      <w:r>
        <w:t>Dakubu</w:t>
      </w:r>
      <w:proofErr w:type="spellEnd"/>
      <w:r>
        <w:t xml:space="preserve"> 1997 but does not comment on or compare the findings of that work with the present. The markets are different, the people surveyed were sellers not porters, and a couple of decades have elapsed, but since it is the only extensive work on urban bilingualism in Accra and deals with the market context some comments would have been in order</w:t>
      </w:r>
      <w:r w:rsidR="00E065ED">
        <w:t>, particularly on things like the position of Akan</w:t>
      </w:r>
      <w:r>
        <w:t xml:space="preserve">. </w:t>
      </w:r>
    </w:p>
    <w:p w:rsidR="00535AFB" w:rsidRDefault="00535AFB"/>
    <w:sectPr w:rsidR="00535AF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273" w:rsidRDefault="00DB1273" w:rsidP="00A72764">
      <w:pPr>
        <w:spacing w:after="0" w:line="240" w:lineRule="auto"/>
      </w:pPr>
      <w:r>
        <w:separator/>
      </w:r>
    </w:p>
  </w:endnote>
  <w:endnote w:type="continuationSeparator" w:id="0">
    <w:p w:rsidR="00DB1273" w:rsidRDefault="00DB1273" w:rsidP="00A72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716" w:rsidRDefault="00212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716" w:rsidRDefault="002127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716" w:rsidRDefault="00212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273" w:rsidRDefault="00DB1273" w:rsidP="00A72764">
      <w:pPr>
        <w:spacing w:after="0" w:line="240" w:lineRule="auto"/>
      </w:pPr>
      <w:r>
        <w:separator/>
      </w:r>
    </w:p>
  </w:footnote>
  <w:footnote w:type="continuationSeparator" w:id="0">
    <w:p w:rsidR="00DB1273" w:rsidRDefault="00DB1273" w:rsidP="00A72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716" w:rsidRDefault="002127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716" w:rsidRDefault="002127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716" w:rsidRDefault="002127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F3"/>
    <w:rsid w:val="000A515E"/>
    <w:rsid w:val="0018762A"/>
    <w:rsid w:val="001C6A00"/>
    <w:rsid w:val="00205187"/>
    <w:rsid w:val="00212716"/>
    <w:rsid w:val="00231FE9"/>
    <w:rsid w:val="003E2953"/>
    <w:rsid w:val="00535AFB"/>
    <w:rsid w:val="006C08BB"/>
    <w:rsid w:val="006D7027"/>
    <w:rsid w:val="0079506E"/>
    <w:rsid w:val="007D703C"/>
    <w:rsid w:val="008A1819"/>
    <w:rsid w:val="00A72764"/>
    <w:rsid w:val="00B13F3C"/>
    <w:rsid w:val="00CF381A"/>
    <w:rsid w:val="00DB1273"/>
    <w:rsid w:val="00DE51F3"/>
    <w:rsid w:val="00E065ED"/>
    <w:rsid w:val="00E764E0"/>
    <w:rsid w:val="00F0171A"/>
    <w:rsid w:val="00F434D8"/>
    <w:rsid w:val="00FC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F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1F3"/>
    <w:pPr>
      <w:ind w:left="720"/>
      <w:contextualSpacing/>
    </w:pPr>
  </w:style>
  <w:style w:type="paragraph" w:styleId="Header">
    <w:name w:val="header"/>
    <w:basedOn w:val="Normal"/>
    <w:link w:val="HeaderChar"/>
    <w:uiPriority w:val="99"/>
    <w:unhideWhenUsed/>
    <w:rsid w:val="00A72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764"/>
  </w:style>
  <w:style w:type="paragraph" w:styleId="Footer">
    <w:name w:val="footer"/>
    <w:basedOn w:val="Normal"/>
    <w:link w:val="FooterChar"/>
    <w:uiPriority w:val="99"/>
    <w:unhideWhenUsed/>
    <w:rsid w:val="00A72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2016-06-08T18:26:00Z</dcterms:created>
  <dcterms:modified xsi:type="dcterms:W3CDTF">2016-06-08T18:31:00Z</dcterms:modified>
</cp:coreProperties>
</file>