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1DF" w:rsidRDefault="004911DF">
      <w:pPr>
        <w:pStyle w:val="NoSpacing"/>
        <w:jc w:val="both"/>
        <w:rPr>
          <w:rFonts w:ascii="Helvetica Neue"/>
          <w:color w:val="191919"/>
          <w:sz w:val="34"/>
          <w:szCs w:val="34"/>
          <w:u w:color="191919"/>
        </w:rPr>
      </w:pPr>
    </w:p>
    <w:p w:rsidR="004911DF" w:rsidRDefault="003B3254">
      <w:pPr>
        <w:pStyle w:val="NoSpacing"/>
        <w:jc w:val="both"/>
        <w:rPr>
          <w:rFonts w:ascii="Times New Roman Bold" w:eastAsia="Times New Roman Bold" w:hAnsi="Times New Roman Bold" w:cs="Times New Roman Bold"/>
        </w:rPr>
      </w:pPr>
      <w:r>
        <w:rPr>
          <w:rFonts w:hAnsi="Times New Roman Bold"/>
        </w:rPr>
        <w:t>‘</w:t>
      </w:r>
      <w:r>
        <w:rPr>
          <w:b/>
          <w:bCs/>
          <w:i/>
          <w:iCs/>
        </w:rPr>
        <w:t xml:space="preserve">Bra, </w:t>
      </w:r>
      <w:proofErr w:type="spellStart"/>
      <w:r>
        <w:rPr>
          <w:b/>
          <w:bCs/>
          <w:i/>
          <w:iCs/>
        </w:rPr>
        <w:t>s</w:t>
      </w:r>
      <w:r>
        <w:rPr>
          <w:rFonts w:hAnsi="Times New Roman"/>
          <w:b/>
          <w:bCs/>
          <w:i/>
          <w:iCs/>
        </w:rPr>
        <w:t>ɛ</w:t>
      </w:r>
      <w:proofErr w:type="spellEnd"/>
      <w:r>
        <w:rPr>
          <w:b/>
          <w:bCs/>
          <w:i/>
          <w:iCs/>
          <w:lang w:val="es-ES_tradnl"/>
        </w:rPr>
        <w:t>n, y</w:t>
      </w:r>
      <w:proofErr w:type="spellStart"/>
      <w:r>
        <w:rPr>
          <w:rFonts w:hAnsi="Times New Roman"/>
          <w:b/>
          <w:bCs/>
          <w:i/>
          <w:iCs/>
        </w:rPr>
        <w:t>ɛ</w:t>
      </w:r>
      <w:r>
        <w:rPr>
          <w:b/>
          <w:bCs/>
          <w:i/>
          <w:iCs/>
        </w:rPr>
        <w:t>nk</w:t>
      </w:r>
      <w:proofErr w:type="spellEnd"/>
      <w:r>
        <w:rPr>
          <w:rFonts w:hAnsi="Times New Roman"/>
          <w:b/>
          <w:bCs/>
          <w:i/>
          <w:iCs/>
        </w:rPr>
        <w:t>ↄ</w:t>
      </w:r>
      <w:r>
        <w:rPr>
          <w:rFonts w:ascii="Times New Roman Bold"/>
        </w:rPr>
        <w:t>... that is all I know in Akan</w:t>
      </w:r>
      <w:r>
        <w:rPr>
          <w:rFonts w:hAnsi="Times New Roman Bold"/>
        </w:rPr>
        <w:t>’</w:t>
      </w:r>
      <w:r>
        <w:rPr>
          <w:rFonts w:ascii="Times New Roman Bold"/>
        </w:rPr>
        <w:t>: How female migrants from rural north survive with minimum bilingualism in urban markets in Ghana.</w:t>
      </w:r>
    </w:p>
    <w:p w:rsidR="004911DF" w:rsidRDefault="004911DF">
      <w:pPr>
        <w:pStyle w:val="NoSpacing"/>
        <w:jc w:val="both"/>
        <w:rPr>
          <w:rFonts w:ascii="Times New Roman Bold" w:eastAsia="Times New Roman Bold" w:hAnsi="Times New Roman Bold" w:cs="Times New Roman Bold"/>
        </w:rPr>
      </w:pPr>
    </w:p>
    <w:p w:rsidR="004911DF" w:rsidRDefault="003B3254">
      <w:pPr>
        <w:pStyle w:val="NoSpacing"/>
        <w:jc w:val="both"/>
        <w:rPr>
          <w:rFonts w:ascii="Times New Roman Bold" w:eastAsia="Times New Roman Bold" w:hAnsi="Times New Roman Bold" w:cs="Times New Roman Bold"/>
        </w:rPr>
      </w:pPr>
      <w:r>
        <w:rPr>
          <w:rFonts w:ascii="Times New Roman Bold"/>
        </w:rPr>
        <w:t xml:space="preserve">1. </w:t>
      </w:r>
      <w:r w:rsidRPr="00C155F7">
        <w:rPr>
          <w:rFonts w:ascii="Times New Roman Bold"/>
        </w:rPr>
        <w:t>Introduction</w:t>
      </w:r>
    </w:p>
    <w:p w:rsidR="004911DF" w:rsidRDefault="003B3254">
      <w:pPr>
        <w:pStyle w:val="NoSpacing"/>
        <w:jc w:val="both"/>
      </w:pPr>
      <w:r>
        <w:t xml:space="preserve">     Communication is vital in all human activities. Migration is no exception to these activities. Language, as a medium of communication is a very relevant tool in migration. It is a key resource that enhances or restricts migrants</w:t>
      </w:r>
      <w:r w:rsidRPr="00C155F7">
        <w:rPr>
          <w:rFonts w:hAnsi="Times New Roman"/>
        </w:rPr>
        <w:t xml:space="preserve">’ </w:t>
      </w:r>
      <w:r>
        <w:t>access and integratio</w:t>
      </w:r>
      <w:r>
        <w:t xml:space="preserve">n into a new/host community. Migrants who lack access to the languages used in a new/host community are usually excluded from different economic and social domains for which language is required.  Access to employment, access to healthcare, access to fair </w:t>
      </w:r>
      <w:r>
        <w:t xml:space="preserve">trial and even access to basic </w:t>
      </w:r>
      <w:r>
        <w:rPr>
          <w:rFonts w:hAnsi="Times New Roman"/>
        </w:rPr>
        <w:t>‘</w:t>
      </w:r>
      <w:r>
        <w:t>linguistic human rights</w:t>
      </w:r>
      <w:r w:rsidRPr="00C155F7">
        <w:rPr>
          <w:rFonts w:hAnsi="Times New Roman"/>
        </w:rPr>
        <w:t xml:space="preserve">’ </w:t>
      </w:r>
      <w:r>
        <w:t>(</w:t>
      </w:r>
      <w:proofErr w:type="spellStart"/>
      <w:r>
        <w:t>Skutnabb</w:t>
      </w:r>
      <w:r>
        <w:rPr>
          <w:rFonts w:ascii="Cambria Math" w:eastAsia="Cambria Math" w:hAnsi="Cambria Math" w:cs="Cambria Math"/>
        </w:rPr>
        <w:t>‐</w:t>
      </w:r>
      <w:r>
        <w:t>Kangas</w:t>
      </w:r>
      <w:proofErr w:type="spellEnd"/>
      <w:r>
        <w:t xml:space="preserve">, 2000, 2001, 2003; </w:t>
      </w:r>
      <w:proofErr w:type="spellStart"/>
      <w:r>
        <w:t>Skutnabb</w:t>
      </w:r>
      <w:r>
        <w:rPr>
          <w:rFonts w:ascii="Cambria Math" w:eastAsia="Cambria Math" w:hAnsi="Cambria Math" w:cs="Cambria Math"/>
        </w:rPr>
        <w:t>‐</w:t>
      </w:r>
      <w:r>
        <w:t>Kangas</w:t>
      </w:r>
      <w:proofErr w:type="spellEnd"/>
      <w:r>
        <w:t xml:space="preserve"> &amp; Phillipson, 1998, 1994) to communicate with other humans are restricted when there is no common language that is shared by the migrant and member</w:t>
      </w:r>
      <w:r>
        <w:t xml:space="preserve">s of the host community.  </w:t>
      </w:r>
    </w:p>
    <w:p w:rsidR="004911DF" w:rsidRPr="00C155F7" w:rsidRDefault="003B3254">
      <w:pPr>
        <w:pStyle w:val="NoSpacing"/>
        <w:jc w:val="both"/>
      </w:pPr>
      <w:r>
        <w:t xml:space="preserve">     In transnational migration studies, there are research findings which have shown that linguistic considerations are important factors that influence patterns, flows and directions of migration (</w:t>
      </w:r>
      <w:proofErr w:type="spellStart"/>
      <w:r>
        <w:t>Belot</w:t>
      </w:r>
      <w:proofErr w:type="spellEnd"/>
      <w:r>
        <w:t xml:space="preserve"> and Hatton 2012, </w:t>
      </w:r>
      <w:proofErr w:type="spellStart"/>
      <w:r>
        <w:t>Belot</w:t>
      </w:r>
      <w:proofErr w:type="spellEnd"/>
      <w:r>
        <w:t xml:space="preserve"> a</w:t>
      </w:r>
      <w:r>
        <w:t xml:space="preserve">nd </w:t>
      </w:r>
      <w:proofErr w:type="spellStart"/>
      <w:r>
        <w:t>Ederveen</w:t>
      </w:r>
      <w:proofErr w:type="spellEnd"/>
      <w:r>
        <w:t xml:space="preserve"> 2012, </w:t>
      </w:r>
      <w:proofErr w:type="spellStart"/>
      <w:r>
        <w:t>Chiswick</w:t>
      </w:r>
      <w:proofErr w:type="spellEnd"/>
      <w:r>
        <w:t xml:space="preserve"> and Miller 2014, </w:t>
      </w:r>
      <w:proofErr w:type="spellStart"/>
      <w:r>
        <w:t>Adsera</w:t>
      </w:r>
      <w:proofErr w:type="spellEnd"/>
      <w:r>
        <w:t xml:space="preserve"> and </w:t>
      </w:r>
      <w:proofErr w:type="spellStart"/>
      <w:r>
        <w:t>Pytilkova</w:t>
      </w:r>
      <w:proofErr w:type="spellEnd"/>
      <w:r>
        <w:t xml:space="preserve"> 2015). Some of these studies have shown that the level of fluency in the language of the host community as well as the ability to learn the language of the host community easily facilitates t</w:t>
      </w:r>
      <w:r>
        <w:t>he transfer of human capital from the migrants to the host community</w:t>
      </w:r>
      <w:r w:rsidRPr="00C155F7">
        <w:rPr>
          <w:rFonts w:hAnsi="Times New Roman"/>
        </w:rPr>
        <w:t>’</w:t>
      </w:r>
      <w:r>
        <w:t xml:space="preserve">s </w:t>
      </w:r>
      <w:proofErr w:type="spellStart"/>
      <w:r>
        <w:t>labour</w:t>
      </w:r>
      <w:proofErr w:type="spellEnd"/>
      <w:r>
        <w:t xml:space="preserve"> market.  (</w:t>
      </w:r>
      <w:proofErr w:type="spellStart"/>
      <w:r>
        <w:t>Bleakley</w:t>
      </w:r>
      <w:proofErr w:type="spellEnd"/>
      <w:r>
        <w:t xml:space="preserve"> and Chin 2004, </w:t>
      </w:r>
      <w:proofErr w:type="spellStart"/>
      <w:r>
        <w:t>Dustmann</w:t>
      </w:r>
      <w:proofErr w:type="spellEnd"/>
      <w:r>
        <w:t xml:space="preserve"> and </w:t>
      </w:r>
      <w:proofErr w:type="spellStart"/>
      <w:r>
        <w:t>Fabbri</w:t>
      </w:r>
      <w:proofErr w:type="spellEnd"/>
      <w:r>
        <w:t xml:space="preserve"> 2003). Findings from recent studies undertaken by </w:t>
      </w:r>
      <w:proofErr w:type="spellStart"/>
      <w:r>
        <w:t>Adsera</w:t>
      </w:r>
      <w:proofErr w:type="spellEnd"/>
      <w:r>
        <w:t xml:space="preserve"> and </w:t>
      </w:r>
      <w:proofErr w:type="spellStart"/>
      <w:r>
        <w:t>Pytilkova</w:t>
      </w:r>
      <w:proofErr w:type="spellEnd"/>
      <w:r>
        <w:t xml:space="preserve"> (2015) have also shown that apart from employment pro</w:t>
      </w:r>
      <w:r>
        <w:t xml:space="preserve">spects, safety, and openness of a society, linguistic proximity plays a key role in migration decisions. Their study observes that, </w:t>
      </w:r>
      <w:r>
        <w:rPr>
          <w:rFonts w:hAnsi="Times New Roman"/>
        </w:rPr>
        <w:t>‘</w:t>
      </w:r>
      <w:r>
        <w:t>migration rates are higher between countries whose languages are more similar.</w:t>
      </w:r>
      <w:r w:rsidRPr="00C155F7">
        <w:rPr>
          <w:rFonts w:hAnsi="Times New Roman"/>
        </w:rPr>
        <w:t xml:space="preserve">’ </w:t>
      </w:r>
    </w:p>
    <w:p w:rsidR="004911DF" w:rsidRDefault="003B3254">
      <w:pPr>
        <w:pStyle w:val="NoSpacing"/>
        <w:jc w:val="both"/>
      </w:pPr>
      <w:r>
        <w:t xml:space="preserve">     The implications of this is that migrants are more likely to move to destinations with which they share a common language than those with which they do not share a common language.  For instance, their study </w:t>
      </w:r>
      <w:proofErr w:type="spellStart"/>
      <w:r>
        <w:t>Adsera</w:t>
      </w:r>
      <w:proofErr w:type="spellEnd"/>
      <w:r>
        <w:t xml:space="preserve"> and </w:t>
      </w:r>
      <w:proofErr w:type="spellStart"/>
      <w:r>
        <w:t>Pytilkova</w:t>
      </w:r>
      <w:proofErr w:type="spellEnd"/>
      <w:r>
        <w:t xml:space="preserve"> (2015) shows that the </w:t>
      </w:r>
      <w:r>
        <w:t>rate at which migrants move to communities with which they share a common language is 19-35% higher than the rate at which they move to a community with which they do not share any linguistic contact.  The only exception they find is in situations where th</w:t>
      </w:r>
      <w:r>
        <w:t xml:space="preserve">e host community speaks English. They speculate that this happens because English is used in international transactions and media and it is also taught widely across the world. Apart from these, English is regarded as an asset in the international </w:t>
      </w:r>
      <w:proofErr w:type="spellStart"/>
      <w:r>
        <w:t>labour</w:t>
      </w:r>
      <w:proofErr w:type="spellEnd"/>
      <w:r>
        <w:t xml:space="preserve"> m</w:t>
      </w:r>
      <w:r>
        <w:t xml:space="preserve">arket. As a result, migrants are attracted to English speaking communities with which they share no common language because of the future economic and social benefits they stand to derive from such migration. </w:t>
      </w:r>
    </w:p>
    <w:p w:rsidR="004911DF" w:rsidRDefault="004911DF">
      <w:pPr>
        <w:pStyle w:val="NoSpacing"/>
        <w:jc w:val="both"/>
      </w:pPr>
    </w:p>
    <w:p w:rsidR="004911DF" w:rsidRDefault="003B3254">
      <w:pPr>
        <w:pStyle w:val="NoSpacing"/>
        <w:jc w:val="both"/>
        <w:rPr>
          <w:i/>
          <w:iCs/>
          <w:color w:val="FF0000"/>
          <w:u w:color="FF0000"/>
        </w:rPr>
      </w:pPr>
      <w:r>
        <w:rPr>
          <w:i/>
          <w:iCs/>
        </w:rPr>
        <w:t>1.1. L</w:t>
      </w:r>
      <w:r>
        <w:rPr>
          <w:i/>
          <w:iCs/>
          <w:u w:color="FF0000"/>
        </w:rPr>
        <w:t>anguage in a migrant</w:t>
      </w:r>
      <w:r w:rsidRPr="00C155F7">
        <w:rPr>
          <w:rFonts w:hAnsi="Times New Roman"/>
          <w:i/>
          <w:iCs/>
          <w:u w:color="FF0000"/>
        </w:rPr>
        <w:t>’</w:t>
      </w:r>
      <w:r>
        <w:rPr>
          <w:i/>
          <w:iCs/>
          <w:u w:color="FF0000"/>
        </w:rPr>
        <w:t>s life in his or h</w:t>
      </w:r>
      <w:r>
        <w:rPr>
          <w:i/>
          <w:iCs/>
          <w:u w:color="FF0000"/>
        </w:rPr>
        <w:t>er new home</w:t>
      </w:r>
      <w:r>
        <w:rPr>
          <w:i/>
          <w:iCs/>
          <w:color w:val="FF0000"/>
          <w:u w:color="FF0000"/>
        </w:rPr>
        <w:t xml:space="preserve"> </w:t>
      </w:r>
    </w:p>
    <w:p w:rsidR="004911DF" w:rsidRDefault="003B3254">
      <w:pPr>
        <w:pStyle w:val="NoSpacing"/>
        <w:jc w:val="both"/>
      </w:pPr>
      <w:r>
        <w:rPr>
          <w:i/>
          <w:iCs/>
          <w:color w:val="FF0000"/>
          <w:u w:color="FF0000"/>
        </w:rPr>
        <w:t xml:space="preserve">     </w:t>
      </w:r>
      <w:r>
        <w:t>This important relationship that holds between language and migration reflects in the lives of migrants even in intra-national migration situations. In multi-lingual communities especially, where migrants move from rural communities to ur</w:t>
      </w:r>
      <w:r>
        <w:t xml:space="preserve">ban and </w:t>
      </w:r>
      <w:proofErr w:type="spellStart"/>
      <w:r>
        <w:t>peri</w:t>
      </w:r>
      <w:proofErr w:type="spellEnd"/>
      <w:r>
        <w:t>-urban communities, there is always a need for the newly arrived migrants to learn the language of the urban community to which they migrate. The levels of proficiency or acquisition may vary depending on the motivations for learning the new la</w:t>
      </w:r>
      <w:r>
        <w:t>nguage, the functions/domain in which the second language is used, the length of stay of the migrant in the new community, and the frequency of use of this language. In this paper, we discuss the incipient bilingualism as a major coping strategy among fema</w:t>
      </w:r>
      <w:r>
        <w:t>le migrants from Northern Ghana who work as head porters (</w:t>
      </w:r>
      <w:proofErr w:type="spellStart"/>
      <w:r>
        <w:rPr>
          <w:i/>
          <w:iCs/>
        </w:rPr>
        <w:t>Kayayei</w:t>
      </w:r>
      <w:proofErr w:type="spellEnd"/>
      <w:r>
        <w:t xml:space="preserve">) in three urban markets in Accra. </w:t>
      </w:r>
    </w:p>
    <w:p w:rsidR="004911DF" w:rsidRDefault="003B3254">
      <w:pPr>
        <w:pStyle w:val="NoSpacing"/>
        <w:jc w:val="both"/>
      </w:pPr>
      <w:r>
        <w:t xml:space="preserve">     </w:t>
      </w:r>
      <w:proofErr w:type="spellStart"/>
      <w:r>
        <w:t>Th</w:t>
      </w:r>
      <w:proofErr w:type="spellEnd"/>
      <w:r>
        <w:rPr>
          <w:lang w:val="it-IT"/>
        </w:rPr>
        <w:t>e linguist</w:t>
      </w:r>
      <w:proofErr w:type="spellStart"/>
      <w:r>
        <w:t>ic</w:t>
      </w:r>
      <w:proofErr w:type="spellEnd"/>
      <w:r>
        <w:t xml:space="preserve"> situation in urban centers in Ghana poses a significant challenge to many female migrants, especially when they first arrive.  Many of </w:t>
      </w:r>
      <w:r>
        <w:t xml:space="preserve">these migrants who come to Accra, </w:t>
      </w:r>
      <w:r>
        <w:lastRenderedPageBreak/>
        <w:t>for instance, can hardly speak the major languages that are spoken in Accra: Ga, Akan, Ewe and English. Consequently, they resort to different strategies to cope with the linguistic challenges they face in their new (host)</w:t>
      </w:r>
      <w:r>
        <w:t xml:space="preserve"> communities. Since many of these migrants migrate for economic reasons, they have to learn the languages spoken in the urban centers in order to get jobs or function effectively. For instance, they have to learn to negotiate fees with the clients whose lu</w:t>
      </w:r>
      <w:r>
        <w:t xml:space="preserve">ggage they hope to carry. They also have to learn to communicate with the tax officers who chase them all over the market to collect the daily income taxes from them. Since the linguistic composition of Accra is so complex and diverse, they have to select </w:t>
      </w:r>
      <w:r>
        <w:t>the language(s) to use in this new context. How do the migrants cope in such complex linguistic situation of the host community?</w:t>
      </w:r>
    </w:p>
    <w:p w:rsidR="004911DF" w:rsidRDefault="003B3254">
      <w:pPr>
        <w:pStyle w:val="NoSpacing"/>
        <w:jc w:val="both"/>
      </w:pPr>
      <w:r>
        <w:t xml:space="preserve">     Specifically, this paper addresses the following questions:  </w:t>
      </w:r>
    </w:p>
    <w:p w:rsidR="004911DF" w:rsidRDefault="003B3254">
      <w:pPr>
        <w:pStyle w:val="NoSpacing"/>
        <w:numPr>
          <w:ilvl w:val="0"/>
          <w:numId w:val="3"/>
        </w:numPr>
        <w:jc w:val="both"/>
      </w:pPr>
      <w:r>
        <w:t>What linguistic challenges do the migrants face in their new</w:t>
      </w:r>
      <w:r>
        <w:t xml:space="preserve"> environment?</w:t>
      </w:r>
    </w:p>
    <w:p w:rsidR="004911DF" w:rsidRDefault="003B3254">
      <w:pPr>
        <w:pStyle w:val="NoSpacing"/>
        <w:numPr>
          <w:ilvl w:val="1"/>
          <w:numId w:val="6"/>
        </w:numPr>
        <w:jc w:val="both"/>
      </w:pPr>
      <w:r>
        <w:t>What are the linguistic backgrounds of the female migrants?</w:t>
      </w:r>
    </w:p>
    <w:p w:rsidR="004911DF" w:rsidRDefault="003B3254">
      <w:pPr>
        <w:pStyle w:val="NoSpacing"/>
        <w:numPr>
          <w:ilvl w:val="1"/>
          <w:numId w:val="6"/>
        </w:numPr>
        <w:jc w:val="both"/>
      </w:pPr>
      <w:r>
        <w:t>What is/are the dominant language (s) of the selected markets?</w:t>
      </w:r>
    </w:p>
    <w:p w:rsidR="004911DF" w:rsidRDefault="003B3254">
      <w:pPr>
        <w:pStyle w:val="NoSpacing"/>
        <w:numPr>
          <w:ilvl w:val="1"/>
          <w:numId w:val="6"/>
        </w:numPr>
        <w:jc w:val="both"/>
      </w:pPr>
      <w:r>
        <w:t>Is/are dominant language(s) different from migrants</w:t>
      </w:r>
      <w:r>
        <w:rPr>
          <w:rFonts w:hAnsi="Times New Roman"/>
        </w:rPr>
        <w:t>’</w:t>
      </w:r>
      <w:r>
        <w:t xml:space="preserve">L1 or (an)other known language (s) </w:t>
      </w:r>
    </w:p>
    <w:p w:rsidR="004911DF" w:rsidRDefault="003B3254">
      <w:pPr>
        <w:pStyle w:val="NoSpacing"/>
        <w:numPr>
          <w:ilvl w:val="0"/>
          <w:numId w:val="3"/>
        </w:numPr>
        <w:jc w:val="both"/>
      </w:pPr>
      <w:r>
        <w:t>What coping strategies do the f</w:t>
      </w:r>
      <w:r>
        <w:t>emale migrants employ to meet these linguistic challenges?</w:t>
      </w:r>
    </w:p>
    <w:p w:rsidR="004911DF" w:rsidRDefault="003B3254">
      <w:pPr>
        <w:pStyle w:val="NoSpacing"/>
        <w:numPr>
          <w:ilvl w:val="1"/>
          <w:numId w:val="9"/>
        </w:numPr>
        <w:jc w:val="both"/>
      </w:pPr>
      <w:r>
        <w:t>What is/are the migrants</w:t>
      </w:r>
      <w:r>
        <w:rPr>
          <w:rFonts w:hAnsi="Times New Roman"/>
        </w:rPr>
        <w:t xml:space="preserve">’ </w:t>
      </w:r>
      <w:r>
        <w:t>preferred language (s) for business?</w:t>
      </w:r>
    </w:p>
    <w:p w:rsidR="004911DF" w:rsidRDefault="003B3254">
      <w:pPr>
        <w:pStyle w:val="NoSpacing"/>
        <w:numPr>
          <w:ilvl w:val="1"/>
          <w:numId w:val="9"/>
        </w:numPr>
        <w:jc w:val="both"/>
      </w:pPr>
      <w:r>
        <w:t>Is/are the preferred language (s) different from their own L1?</w:t>
      </w:r>
    </w:p>
    <w:p w:rsidR="004911DF" w:rsidRDefault="003B3254">
      <w:pPr>
        <w:pStyle w:val="NoSpacing"/>
        <w:numPr>
          <w:ilvl w:val="1"/>
          <w:numId w:val="9"/>
        </w:numPr>
        <w:jc w:val="both"/>
      </w:pPr>
      <w:r>
        <w:t>Is/are the preferred language (s) the dominant language (s) of the mark</w:t>
      </w:r>
      <w:r>
        <w:t>et?</w:t>
      </w:r>
    </w:p>
    <w:p w:rsidR="004911DF" w:rsidRDefault="003B3254">
      <w:pPr>
        <w:pStyle w:val="NoSpacing"/>
        <w:numPr>
          <w:ilvl w:val="1"/>
          <w:numId w:val="9"/>
        </w:numPr>
        <w:jc w:val="both"/>
      </w:pPr>
      <w:r>
        <w:t>What is the motivation for selecting the preferred language for business?</w:t>
      </w:r>
    </w:p>
    <w:p w:rsidR="004911DF" w:rsidRDefault="003B3254">
      <w:pPr>
        <w:pStyle w:val="NoSpacing"/>
        <w:jc w:val="both"/>
      </w:pPr>
      <w:r>
        <w:t xml:space="preserve">In order to answer these questions, we aim to achieve the following objectives in this paper: </w:t>
      </w:r>
    </w:p>
    <w:p w:rsidR="004911DF" w:rsidRDefault="003B3254">
      <w:pPr>
        <w:pStyle w:val="NoSpacing"/>
        <w:jc w:val="both"/>
      </w:pPr>
      <w:r>
        <w:t>(1) To investigate the linguistic challenges that migrants face in their new enviro</w:t>
      </w:r>
      <w:r>
        <w:t>nment.</w:t>
      </w:r>
    </w:p>
    <w:p w:rsidR="004911DF" w:rsidRDefault="003B3254">
      <w:pPr>
        <w:pStyle w:val="NoSpacing"/>
        <w:jc w:val="both"/>
      </w:pPr>
      <w:r>
        <w:t xml:space="preserve"> (2) To identify the coping strategies the migrants employ to meet these linguistics challenges.</w:t>
      </w:r>
    </w:p>
    <w:p w:rsidR="004911DF" w:rsidRDefault="003B3254">
      <w:pPr>
        <w:pStyle w:val="NoSpacing"/>
        <w:jc w:val="both"/>
      </w:pPr>
      <w:r>
        <w:t>In order to achieve objective (1), we first identify the dominant language(s) of the markets to see if it is/they are indeed different from the language</w:t>
      </w:r>
      <w:r>
        <w:t>s spoken by the migrants. Regarding objective (2), we examine the language (s) migrants select for business transactions. We also attempt to evaluate the level of competence the migrants have in the selected language for business and explore why migrants c</w:t>
      </w:r>
      <w:r>
        <w:t>hoose to do business in the particular language (s).</w:t>
      </w:r>
    </w:p>
    <w:p w:rsidR="004911DF" w:rsidRDefault="003B3254">
      <w:pPr>
        <w:pStyle w:val="NoSpacing"/>
        <w:jc w:val="both"/>
      </w:pPr>
      <w:r>
        <w:t xml:space="preserve">     </w:t>
      </w:r>
    </w:p>
    <w:p w:rsidR="004911DF" w:rsidRDefault="003B3254">
      <w:pPr>
        <w:pStyle w:val="NoSpacing"/>
        <w:jc w:val="both"/>
      </w:pPr>
      <w:r>
        <w:t xml:space="preserve">     Generally, this paper assumes that migration has long term linguistic consequences which have to be faithfully and carefully documented at every stage. For example, in this case, the female migrant porters may learn the dominant languages used in the </w:t>
      </w:r>
      <w:r>
        <w:t>host communities in the long term and shift from their mother-tongues to these languages or they may develop a form of bilingualism in which case they speak the dominant language of the host community when they go to work and thereby acquire a second langu</w:t>
      </w:r>
      <w:r>
        <w:t>age that they may use for functional purposes. Apart from this situation, even when they go back to their villages, especially for those of them who are seasonal migrants, they may still continue to use their newly acquired second languages to show that th</w:t>
      </w:r>
      <w:r>
        <w:t>ey have acquired a higher status because they have travelled to other parts of the country and are modernized or urbanized. In this situation, multilingualism may also develop in those communities where they migrate from. So whichever angle we choose to lo</w:t>
      </w:r>
      <w:r>
        <w:t>ok at it from, migration has very important consequences for individual bilingualism or societal bilingualism.</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rPr>
        <w:t>2.  B</w:t>
      </w:r>
      <w:r>
        <w:rPr>
          <w:rFonts w:ascii="Times New Roman Bold"/>
          <w:lang w:val="it-IT"/>
        </w:rPr>
        <w:t>ilingualism</w:t>
      </w:r>
    </w:p>
    <w:p w:rsidR="004911DF" w:rsidRDefault="003B3254">
      <w:pPr>
        <w:pStyle w:val="NoSpacing"/>
        <w:jc w:val="both"/>
      </w:pPr>
      <w:r>
        <w:t xml:space="preserve">     </w:t>
      </w:r>
      <w:r>
        <w:rPr>
          <w:shd w:val="clear" w:color="auto" w:fill="FFFFFF"/>
        </w:rPr>
        <w:t xml:space="preserve">Bilingualism is commonly defined as the use of at least two languages by an individual. For example, the </w:t>
      </w:r>
      <w:r>
        <w:rPr>
          <w:color w:val="58595B"/>
          <w:u w:color="58595B"/>
          <w:shd w:val="clear" w:color="auto" w:fill="FFFFFF"/>
        </w:rPr>
        <w:t xml:space="preserve">American </w:t>
      </w:r>
      <w:r>
        <w:rPr>
          <w:color w:val="58595B"/>
          <w:u w:color="58595B"/>
          <w:shd w:val="clear" w:color="auto" w:fill="FFFFFF"/>
        </w:rPr>
        <w:t>Speech-Language-Hearing Association</w:t>
      </w:r>
      <w:r>
        <w:rPr>
          <w:shd w:val="clear" w:color="auto" w:fill="FFFFFF"/>
        </w:rPr>
        <w:t xml:space="preserve"> (ASHA, 2004) has defined it as a fluctuating system in children and adults whereby use of and proficiency in two languages may change depending on the opportunities to use the languages and exposure to other users </w:t>
      </w:r>
      <w:r>
        <w:rPr>
          <w:shd w:val="clear" w:color="auto" w:fill="FFFFFF"/>
        </w:rPr>
        <w:lastRenderedPageBreak/>
        <w:t>of the</w:t>
      </w:r>
      <w:r>
        <w:rPr>
          <w:shd w:val="clear" w:color="auto" w:fill="FFFFFF"/>
        </w:rPr>
        <w:t xml:space="preserve"> languages, a dynamic and fluid process across a number of domains, including experience, tasks, topics, and time.</w:t>
      </w:r>
      <w:r>
        <w:rPr>
          <w:rFonts w:hAnsi="Times New Roman"/>
          <w:shd w:val="clear" w:color="auto" w:fill="FFFFFF"/>
        </w:rPr>
        <w:t> </w:t>
      </w:r>
      <w:r>
        <w:rPr>
          <w:shd w:val="clear" w:color="auto" w:fill="FFFFFF"/>
        </w:rPr>
        <w:t xml:space="preserve">However, </w:t>
      </w:r>
      <w:r>
        <w:t>Li Wei (2000) points out that defining bilingualism is a rather difficult thing to do because bilingualism is a complex phenomenon w</w:t>
      </w:r>
      <w:r>
        <w:t xml:space="preserve">ith many different dimensions. Consequently, there does not seem to be any adequate definition for it resulting in the proliferation of definitions in the field of bilingualism (Mackey 1970:583). </w:t>
      </w:r>
      <w:proofErr w:type="spellStart"/>
      <w:r>
        <w:t>Skutnabb-Kangas</w:t>
      </w:r>
      <w:proofErr w:type="spellEnd"/>
      <w:r>
        <w:t xml:space="preserve"> (1981) has </w:t>
      </w:r>
      <w:r>
        <w:rPr>
          <w:lang w:val="it-IT"/>
        </w:rPr>
        <w:t>attribute</w:t>
      </w:r>
      <w:r>
        <w:t>d the situation describe</w:t>
      </w:r>
      <w:r>
        <w:t>d above to the fact that there are many dimensions to bilingualism, and that these dimensions attract researchers from different disciplines (who base their definitions on particular dimensions of bilingualism that is specific to their areas of interest or</w:t>
      </w:r>
      <w:r>
        <w:t xml:space="preserve"> discipline) into the field. This, she claims, has contributed to a conceptual confusion in the field of bilingualism. In this section, we provide an overview of common definitions of bilingualism in the literature in order to describe our respondents who </w:t>
      </w:r>
      <w:r>
        <w:t xml:space="preserve">have migrated to work in city markets where the language (s) of business is/are different from their home languages. </w:t>
      </w:r>
    </w:p>
    <w:p w:rsidR="004911DF" w:rsidRDefault="003B3254">
      <w:pPr>
        <w:pStyle w:val="NoSpacing"/>
        <w:jc w:val="both"/>
      </w:pPr>
      <w:r>
        <w:t xml:space="preserve">     Theoretical linguists tend to base their definitions of bilingualism on the linguistic competence of the bilingual, i.e., how an indi</w:t>
      </w:r>
      <w:r>
        <w:t xml:space="preserve">vidual masters two languages. To this end, Bloomfield (1933) defined bilingualism as </w:t>
      </w:r>
      <w:r>
        <w:rPr>
          <w:rFonts w:hAnsi="Times New Roman"/>
        </w:rPr>
        <w:t>‘</w:t>
      </w:r>
      <w:r>
        <w:t>the native-like control of two or more languages</w:t>
      </w:r>
      <w:r>
        <w:rPr>
          <w:rFonts w:hAnsi="Times New Roman"/>
        </w:rPr>
        <w:t>’</w:t>
      </w:r>
      <w:r>
        <w:t>. Competence-based definitions of bilingualism have received several criticisms, principal among which are: (1) that they</w:t>
      </w:r>
      <w:r>
        <w:t xml:space="preserve"> do not adequately discriminate between language knowledge and language use; (2) that they do not clearly explain the basis for comparison, i.e. who constitutes the normative (native) group; and (3) that they do not specify the required level of competence</w:t>
      </w:r>
      <w:r>
        <w:t xml:space="preserve"> (</w:t>
      </w:r>
      <w:proofErr w:type="spellStart"/>
      <w:r>
        <w:t>Skutnabb-Kangas</w:t>
      </w:r>
      <w:proofErr w:type="spellEnd"/>
      <w:r>
        <w:t xml:space="preserve"> 1981). For instance, Baker (1993) has also described Bloomfield</w:t>
      </w:r>
      <w:r>
        <w:rPr>
          <w:rFonts w:hAnsi="Times New Roman"/>
        </w:rPr>
        <w:t>’</w:t>
      </w:r>
      <w:r>
        <w:t>s definition above as extreme and maximalist as well as ambiguous.</w:t>
      </w:r>
    </w:p>
    <w:p w:rsidR="004911DF" w:rsidRDefault="003B3254">
      <w:pPr>
        <w:pStyle w:val="NoSpacing"/>
        <w:jc w:val="both"/>
      </w:pPr>
      <w:r>
        <w:t>Baker (1993) acknowledges the need to distinguish between language ability (degree) and use (function) in d</w:t>
      </w:r>
      <w:r>
        <w:t>efining bilingualism. He argues that the four language skills that are typically used as indices of a person</w:t>
      </w:r>
      <w:r>
        <w:rPr>
          <w:rFonts w:hAnsi="Times New Roman"/>
        </w:rPr>
        <w:t>’</w:t>
      </w:r>
      <w:r>
        <w:t xml:space="preserve">s linguistic competence (listening, speaking, reading and writing) all </w:t>
      </w:r>
      <w:proofErr w:type="spellStart"/>
      <w:r>
        <w:t>emphasise</w:t>
      </w:r>
      <w:proofErr w:type="spellEnd"/>
      <w:r>
        <w:t xml:space="preserve"> language ability but not function.  </w:t>
      </w:r>
      <w:proofErr w:type="spellStart"/>
      <w:r>
        <w:t>Skutnabb-Kangas</w:t>
      </w:r>
      <w:proofErr w:type="spellEnd"/>
      <w:r>
        <w:t xml:space="preserve"> (1981) propose</w:t>
      </w:r>
      <w:r>
        <w:t xml:space="preserve">s a fifth language ability, thinking, which Cummins (1984) refers to as </w:t>
      </w:r>
      <w:r>
        <w:rPr>
          <w:rFonts w:hAnsi="Times New Roman"/>
        </w:rPr>
        <w:t>‘</w:t>
      </w:r>
      <w:r>
        <w:t>cognitive competence in language</w:t>
      </w:r>
      <w:r>
        <w:rPr>
          <w:rFonts w:hAnsi="Times New Roman"/>
        </w:rPr>
        <w:t xml:space="preserve">’ </w:t>
      </w:r>
      <w:r>
        <w:t xml:space="preserve">and defines it as the ability to use one or more languages as an instrument of thought or for reasoning and deliberation. </w:t>
      </w:r>
    </w:p>
    <w:p w:rsidR="004911DF" w:rsidRDefault="003B3254">
      <w:pPr>
        <w:pStyle w:val="NoSpacing"/>
        <w:jc w:val="both"/>
      </w:pPr>
      <w:r>
        <w:t xml:space="preserve">     Baker (1993) also adv</w:t>
      </w:r>
      <w:r>
        <w:t>ocates that cognitive ability in language should be considered as an aspect of speaking ability. This position appears to lean towards the argument that speech is conceptually necessary for thought. While this was a popular tenet in both philosophy and lin</w:t>
      </w:r>
      <w:r>
        <w:t>guistics in the past (Wittgenstein 1953), evidence from recent research in the child language acquisition literature show suggests that cognitive competence in language is not necessarily dependent on speaking ability - children show signs of cognitive com</w:t>
      </w:r>
      <w:r>
        <w:t xml:space="preserve">petence in language well before they are able to speak (Steinberg and </w:t>
      </w:r>
      <w:proofErr w:type="spellStart"/>
      <w:r>
        <w:t>Sciarini</w:t>
      </w:r>
      <w:proofErr w:type="spellEnd"/>
      <w:r>
        <w:t xml:space="preserve"> 2006).</w:t>
      </w:r>
    </w:p>
    <w:p w:rsidR="004911DF" w:rsidRDefault="003B3254">
      <w:pPr>
        <w:pStyle w:val="NoSpacing"/>
        <w:jc w:val="both"/>
      </w:pPr>
      <w:r>
        <w:t xml:space="preserve">     Another major criticism of the competence-based definitions of bilingualism concerns the criteria for selecting a particular language ability as the basis for establ</w:t>
      </w:r>
      <w:r>
        <w:t>ishing bilingualism.  Whereas some people have a speaking ability only in a second language, others have reading/writing ability only and cannot engage in any natural context-based spoken discourse in a second language. Again, how should the level of langu</w:t>
      </w:r>
      <w:r>
        <w:t>age ability or competence necessary to establish bilingualism be measured? For instance, are passive/ receptive bilinguals who can only, but fully, understand a second language without speaking, reading or writing it, more or less bilingual than people who</w:t>
      </w:r>
      <w:r>
        <w:t xml:space="preserve"> have less highly developed levels of more than one of the language ability in a second language but who are nonetheless very functional in terms of actual natural language use?</w:t>
      </w:r>
    </w:p>
    <w:p w:rsidR="004911DF" w:rsidRDefault="003B3254">
      <w:pPr>
        <w:pStyle w:val="NoSpacing"/>
        <w:jc w:val="both"/>
      </w:pPr>
      <w:r>
        <w:t xml:space="preserve">     For instance, during the data exercise for this study, we came across sev</w:t>
      </w:r>
      <w:r>
        <w:t>eral migrants who showed understanding of Akan, the dominant language of the markets, but who could not engage in any meaningful talk-exchange with us in the language; they used intermediaries/mediators (their colleagues who had the abilities of understand</w:t>
      </w:r>
      <w:r>
        <w:t xml:space="preserve">ing and speaking) to either answer </w:t>
      </w:r>
      <w:r>
        <w:lastRenderedPageBreak/>
        <w:t xml:space="preserve">our questions or ask their own.  </w:t>
      </w:r>
      <w:proofErr w:type="spellStart"/>
      <w:r>
        <w:t>Sedlak</w:t>
      </w:r>
      <w:proofErr w:type="spellEnd"/>
      <w:r>
        <w:t xml:space="preserve"> (1983) describes a situation in Kenya where a handful of people across many towns learn enough Hindi just so they can describe the plot of Hindi-language films that were shown to th</w:t>
      </w:r>
      <w:r>
        <w:t xml:space="preserve">eir friends (for a fee - free entry ticket to watch the movies). Are any of these groups of people more or less </w:t>
      </w:r>
      <w:r w:rsidR="00C155F7">
        <w:t xml:space="preserve">bilingual than the others? </w:t>
      </w:r>
      <w:r w:rsidR="00B058BE">
        <w:t>Author</w:t>
      </w:r>
      <w:r>
        <w:t xml:space="preserve"> (2011) enumerates the difficulty involved in selecting either any one of the five language abilities over the o</w:t>
      </w:r>
      <w:r>
        <w:t>thers or all the five language abilities as a criterion to establish bilingualism.  Studies have also shown that people who grow up in multilingual communities may acquire bare functional competence in many additional languages, and may not worry about the</w:t>
      </w:r>
      <w:r>
        <w:t xml:space="preserve"> level of ability required to be considered competent in a language (Van </w:t>
      </w:r>
      <w:proofErr w:type="spellStart"/>
      <w:r>
        <w:t>Herk</w:t>
      </w:r>
      <w:proofErr w:type="spellEnd"/>
      <w:r>
        <w:t xml:space="preserve"> 2012; Sridhar 1996). Against this backdrop, the maximalist definitions of bilingualism indeed appear vague. </w:t>
      </w:r>
    </w:p>
    <w:p w:rsidR="004911DF" w:rsidRDefault="003B3254">
      <w:pPr>
        <w:pStyle w:val="NoSpacing"/>
        <w:jc w:val="both"/>
      </w:pPr>
      <w:r>
        <w:t xml:space="preserve">     Diebold (1964) proposed the minimalist approach to defining bili</w:t>
      </w:r>
      <w:r>
        <w:t xml:space="preserve">ngualism. His concept of </w:t>
      </w:r>
      <w:r>
        <w:rPr>
          <w:rFonts w:hAnsi="Times New Roman"/>
        </w:rPr>
        <w:t>‘</w:t>
      </w:r>
      <w:r>
        <w:t>incipient bilingualism</w:t>
      </w:r>
      <w:r>
        <w:rPr>
          <w:rFonts w:hAnsi="Times New Roman"/>
        </w:rPr>
        <w:t xml:space="preserve">’ </w:t>
      </w:r>
      <w:r>
        <w:t>allows people with minimum knowledge in a second language to be classified as bilinguals. Based on Diebold</w:t>
      </w:r>
      <w:r>
        <w:rPr>
          <w:rFonts w:hAnsi="Times New Roman"/>
        </w:rPr>
        <w:t>’</w:t>
      </w:r>
      <w:r>
        <w:t xml:space="preserve">s concept, Kroll and De Groot (1997:170) define bilingualism to include </w:t>
      </w:r>
      <w:r>
        <w:rPr>
          <w:rFonts w:hAnsi="Times New Roman"/>
        </w:rPr>
        <w:t>‘</w:t>
      </w:r>
      <w:r>
        <w:t>all individuals who active</w:t>
      </w:r>
      <w:r>
        <w:t>ly use, or attempt to use, more than one language (even if they have not achieved fluency in the second language)</w:t>
      </w:r>
      <w:r>
        <w:rPr>
          <w:rFonts w:hAnsi="Times New Roman"/>
        </w:rPr>
        <w:t>’</w:t>
      </w:r>
      <w:r>
        <w:t>. This approach allows people who know nothing beyond forms of greeting and response in a second language to be categorized as bilinguals. Thu</w:t>
      </w:r>
      <w:r>
        <w:t xml:space="preserve">s, however one looks at it, competence-based definitions of bilingualism, whether minimalist or maximalist, can be problematic in the sense that they can either include everyone or no one as bilingual. </w:t>
      </w:r>
    </w:p>
    <w:p w:rsidR="004911DF" w:rsidRDefault="003B3254">
      <w:pPr>
        <w:pStyle w:val="NoSpacing"/>
        <w:jc w:val="both"/>
      </w:pPr>
      <w:r>
        <w:t xml:space="preserve">     Unlike the competence-based definitions of bilin</w:t>
      </w:r>
      <w:r>
        <w:t xml:space="preserve">gualism, function-based definitions focus on what languages are used for or may be used for in society. For instance, while </w:t>
      </w:r>
      <w:proofErr w:type="spellStart"/>
      <w:r>
        <w:t>Weinreich</w:t>
      </w:r>
      <w:proofErr w:type="spellEnd"/>
      <w:r>
        <w:t xml:space="preserve"> (1968) defined bilingualism as the practice of alternately using two languages, Mackey (1970:554) opines that </w:t>
      </w:r>
      <w:r>
        <w:rPr>
          <w:rFonts w:hAnsi="Times New Roman"/>
        </w:rPr>
        <w:t>‘</w:t>
      </w:r>
      <w:r>
        <w:t>bilingualis</w:t>
      </w:r>
      <w:r>
        <w:t>m is not a phenomenon of language; it is a characteristic of its use. It is not a feature of the code but of the message. It does not belong to the domain of langue but parole</w:t>
      </w:r>
      <w:r>
        <w:rPr>
          <w:rFonts w:hAnsi="Times New Roman"/>
        </w:rPr>
        <w:t>’</w:t>
      </w:r>
      <w:r>
        <w:t>. Mackey further suggests that the definition of bilingualism should be based on</w:t>
      </w:r>
      <w:r>
        <w:t xml:space="preserve"> interconnections among the various language abilities where each language ability can be seen as a continuum in which speakers may have different competences for the respective languages at different levels and in different contexts. </w:t>
      </w:r>
    </w:p>
    <w:p w:rsidR="004911DF" w:rsidRDefault="003B3254">
      <w:pPr>
        <w:pStyle w:val="NoSpacing"/>
        <w:jc w:val="both"/>
        <w:rPr>
          <w:i/>
          <w:iCs/>
        </w:rPr>
      </w:pPr>
      <w:r>
        <w:t xml:space="preserve">     Function-based definitions seem to have become the basis for defining bilingualism among researchers who view bilingualism as a </w:t>
      </w:r>
      <w:r>
        <w:rPr>
          <w:rFonts w:hAnsi="Times New Roman"/>
        </w:rPr>
        <w:t>‘</w:t>
      </w:r>
      <w:r>
        <w:t>spectrum or continuum</w:t>
      </w:r>
      <w:r>
        <w:rPr>
          <w:rFonts w:hAnsi="Times New Roman"/>
        </w:rPr>
        <w:t xml:space="preserve">’ </w:t>
      </w:r>
      <w:r>
        <w:t xml:space="preserve">which runs from relatively monolingual second language learners to highly proficient (near native) </w:t>
      </w:r>
      <w:r>
        <w:t>second language speakers or users (</w:t>
      </w:r>
      <w:proofErr w:type="spellStart"/>
      <w:r>
        <w:t>Dako</w:t>
      </w:r>
      <w:proofErr w:type="spellEnd"/>
      <w:r>
        <w:t xml:space="preserve"> 2001, </w:t>
      </w:r>
      <w:proofErr w:type="spellStart"/>
      <w:r>
        <w:t>G</w:t>
      </w:r>
      <w:r w:rsidR="00C155F7">
        <w:t>uerini</w:t>
      </w:r>
      <w:proofErr w:type="spellEnd"/>
      <w:r w:rsidR="00C155F7">
        <w:t xml:space="preserve"> 2006). According to </w:t>
      </w:r>
      <w:r w:rsidR="00B058BE">
        <w:t>Author</w:t>
      </w:r>
      <w:r>
        <w:t xml:space="preserve"> (2011) this approach to defining bilingualism provides a better framework for dealing with the complexities inherent in bilingualism as a phenomenon because it enables research</w:t>
      </w:r>
      <w:r>
        <w:t>ers to focus on a particular point within the continuum and to draw conclusions that are not over-</w:t>
      </w:r>
      <w:proofErr w:type="spellStart"/>
      <w:r>
        <w:t>generalised</w:t>
      </w:r>
      <w:proofErr w:type="spellEnd"/>
      <w:r>
        <w:t xml:space="preserve"> or oversimplified. From this perspective, we may describe a cline of bilingualism (from incipient bilinguals to highly fluent bilinguals) in the l</w:t>
      </w:r>
      <w:r>
        <w:t xml:space="preserve">anguage of the market and the L1 of the female migrants we studied. </w:t>
      </w:r>
    </w:p>
    <w:p w:rsidR="004911DF" w:rsidRDefault="003B3254">
      <w:pPr>
        <w:pStyle w:val="NoSpacing"/>
        <w:jc w:val="both"/>
      </w:pPr>
      <w:r>
        <w:rPr>
          <w:i/>
          <w:iCs/>
        </w:rPr>
        <w:t xml:space="preserve">     </w:t>
      </w:r>
      <w:r>
        <w:t>It has been established in both bilingualism and sociolinguistics liter</w:t>
      </w:r>
      <w:r w:rsidR="00C52C77">
        <w:t>ature that bilingualism is a by-</w:t>
      </w:r>
      <w:bookmarkStart w:id="0" w:name="_GoBack"/>
      <w:bookmarkEnd w:id="0"/>
      <w:r>
        <w:t>product of language contact situations which may arise from several factors inc</w:t>
      </w:r>
      <w:r>
        <w:t>luding migration. In every language contact situation, some sociolinguistic groups appear more powerful, through political power, economic power or dominance in terms of sheer numbers.  In this regard, immigrant communities tend to be less powerful in thei</w:t>
      </w:r>
      <w:r>
        <w:t>r new environment. Consequently, asymmetrical bilingualism is expected. This is a situation where the less powerful linguistic group, e.g. immigrant community, is expected to adopt the language of the powerful group in order to access education, government</w:t>
      </w:r>
      <w:r>
        <w:t xml:space="preserve"> services or jobs (Van </w:t>
      </w:r>
      <w:proofErr w:type="spellStart"/>
      <w:r>
        <w:t>Herk</w:t>
      </w:r>
      <w:proofErr w:type="spellEnd"/>
      <w:r>
        <w:t xml:space="preserve"> 2012). Asymmetrical bilingualism may lead to language shift, especially in prolong language contact situations (</w:t>
      </w:r>
      <w:proofErr w:type="spellStart"/>
      <w:r>
        <w:t>Bourhis</w:t>
      </w:r>
      <w:proofErr w:type="spellEnd"/>
      <w:r>
        <w:t xml:space="preserve"> and Giles 1977; </w:t>
      </w:r>
      <w:proofErr w:type="spellStart"/>
      <w:r>
        <w:t>Weinreich</w:t>
      </w:r>
      <w:proofErr w:type="spellEnd"/>
      <w:r>
        <w:t xml:space="preserve"> 1953). Nevertheless, under certain circumstances, minority language groups have ma</w:t>
      </w:r>
      <w:r>
        <w:t>intained their language in the face of a more socio-politically, economically, or regionally dominant language.</w:t>
      </w:r>
    </w:p>
    <w:p w:rsidR="004911DF" w:rsidRDefault="003B3254">
      <w:pPr>
        <w:pStyle w:val="NoSpacing"/>
        <w:jc w:val="both"/>
      </w:pPr>
      <w:r>
        <w:lastRenderedPageBreak/>
        <w:t xml:space="preserve">      According to Van </w:t>
      </w:r>
      <w:proofErr w:type="spellStart"/>
      <w:r>
        <w:t>Herk</w:t>
      </w:r>
      <w:proofErr w:type="spellEnd"/>
      <w:r>
        <w:t xml:space="preserve"> (2012), demography is one of the major factors that ensure language maintenance in the face of language dominance. F</w:t>
      </w:r>
      <w:r>
        <w:t xml:space="preserve">or instance, </w:t>
      </w:r>
      <w:proofErr w:type="spellStart"/>
      <w:r>
        <w:t>Pendakur</w:t>
      </w:r>
      <w:proofErr w:type="spellEnd"/>
      <w:r>
        <w:t xml:space="preserve"> and </w:t>
      </w:r>
      <w:proofErr w:type="spellStart"/>
      <w:r>
        <w:t>Kralt</w:t>
      </w:r>
      <w:proofErr w:type="spellEnd"/>
      <w:r>
        <w:t xml:space="preserve"> (1991) have reported (based on census data) that living in a large linguistic enclave encourages the retention of immigrant languages. Again, </w:t>
      </w:r>
      <w:proofErr w:type="spellStart"/>
      <w:r>
        <w:t>Ogbu</w:t>
      </w:r>
      <w:proofErr w:type="spellEnd"/>
      <w:r>
        <w:t xml:space="preserve"> (1978) suggests that if large groups of immigrants believe or have hope that </w:t>
      </w:r>
      <w:r>
        <w:t>they will return to the country/town of origin, they maintain their home language. The analysis of the data reveals the development of a form of bilingualism among many of the female migrants in the selected markets. Is the female-immigrant bilingualism we</w:t>
      </w:r>
      <w:r>
        <w:t xml:space="preserve"> find in urban markets in Ghana influenced by any of these factors discussed above? Section 5 of the paper shall present the analysis of the data, major findings and discussion of these findings. But before then, we present some background information abou</w:t>
      </w:r>
      <w:r>
        <w:t>t the study sites as well as an overview of our methods of data collection in the next two sections.</w:t>
      </w:r>
    </w:p>
    <w:p w:rsidR="004911DF" w:rsidRDefault="004911DF">
      <w:pPr>
        <w:pStyle w:val="NoSpacing"/>
        <w:jc w:val="both"/>
      </w:pP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u w:color="FF0000"/>
        </w:rPr>
        <w:t xml:space="preserve">3. </w:t>
      </w:r>
      <w:r>
        <w:rPr>
          <w:rFonts w:ascii="Times New Roman Bold"/>
        </w:rPr>
        <w:t>The Study Area</w:t>
      </w:r>
    </w:p>
    <w:p w:rsidR="004911DF" w:rsidRDefault="003B3254">
      <w:pPr>
        <w:pStyle w:val="NoSpacing"/>
        <w:jc w:val="both"/>
      </w:pPr>
      <w:r>
        <w:t xml:space="preserve">     </w:t>
      </w:r>
      <w:proofErr w:type="spellStart"/>
      <w:r>
        <w:t>Agbogboloshie</w:t>
      </w:r>
      <w:proofErr w:type="spellEnd"/>
      <w:r>
        <w:t xml:space="preserve">, </w:t>
      </w:r>
      <w:proofErr w:type="spellStart"/>
      <w:r>
        <w:t>Madina</w:t>
      </w:r>
      <w:proofErr w:type="spellEnd"/>
      <w:r>
        <w:t xml:space="preserve"> and Dome are suburbs of Accra. Accra, the capital of Ghana, is one of the most linguistically complex cities</w:t>
      </w:r>
      <w:r>
        <w:t xml:space="preserve"> in the country. It is a cosmopolitan city, the most </w:t>
      </w:r>
      <w:proofErr w:type="spellStart"/>
      <w:r>
        <w:t>urbanised</w:t>
      </w:r>
      <w:proofErr w:type="spellEnd"/>
      <w:r>
        <w:t xml:space="preserve"> city in the country, with a very high level of ethnolinguistic diversity.  Although official reliable estimates do not exist, a rough extraction from the 2010 Housing and Population Census sugg</w:t>
      </w:r>
      <w:r>
        <w:t xml:space="preserve">ests that almost all the languages that are spoken in Ghana are represented in Accra. Four languages, Akan, English, Ga, and Hausa stand out as the most important languages of present-day Accra.  According to </w:t>
      </w:r>
      <w:proofErr w:type="spellStart"/>
      <w:r>
        <w:t>Dakubu</w:t>
      </w:r>
      <w:proofErr w:type="spellEnd"/>
      <w:r>
        <w:t xml:space="preserve"> (1997) although the ethnic language of A</w:t>
      </w:r>
      <w:r>
        <w:t>ccra is Ga, there are strong indications that the city</w:t>
      </w:r>
      <w:r w:rsidRPr="00C155F7">
        <w:rPr>
          <w:rFonts w:hAnsi="Times New Roman"/>
        </w:rPr>
        <w:t>’</w:t>
      </w:r>
      <w:r>
        <w:t xml:space="preserve">s largest ethnolinguistic group is Akan and there are more Akan speakers in Accra than Ga speakers.    </w:t>
      </w:r>
    </w:p>
    <w:p w:rsidR="004911DF" w:rsidRDefault="003B3254">
      <w:pPr>
        <w:pStyle w:val="NoSpacing"/>
        <w:jc w:val="both"/>
      </w:pPr>
      <w:r>
        <w:t xml:space="preserve">     These three communities were selected as our research sites because they are common destinat</w:t>
      </w:r>
      <w:r>
        <w:t xml:space="preserve">ions for migrants from the northern parts of Ghana to Accra. The strongest points of attraction in these communities for these migrants are the big markets that are located there. Unlike the other big market </w:t>
      </w:r>
      <w:proofErr w:type="spellStart"/>
      <w:r>
        <w:t>centres</w:t>
      </w:r>
      <w:proofErr w:type="spellEnd"/>
      <w:r>
        <w:t xml:space="preserve"> such as </w:t>
      </w:r>
      <w:proofErr w:type="spellStart"/>
      <w:r>
        <w:t>Makola</w:t>
      </w:r>
      <w:proofErr w:type="spellEnd"/>
      <w:r>
        <w:t xml:space="preserve">, </w:t>
      </w:r>
      <w:proofErr w:type="spellStart"/>
      <w:r>
        <w:t>Malata</w:t>
      </w:r>
      <w:proofErr w:type="spellEnd"/>
      <w:r>
        <w:t xml:space="preserve"> and </w:t>
      </w:r>
      <w:proofErr w:type="spellStart"/>
      <w:r>
        <w:t>Kaneshie</w:t>
      </w:r>
      <w:proofErr w:type="spellEnd"/>
      <w:r>
        <w:t xml:space="preserve"> Mark</w:t>
      </w:r>
      <w:r>
        <w:t xml:space="preserve">ets (all in Accra), migrant communities have sprung up around </w:t>
      </w:r>
      <w:proofErr w:type="spellStart"/>
      <w:r>
        <w:t>Agbobgoloshie</w:t>
      </w:r>
      <w:proofErr w:type="spellEnd"/>
      <w:r>
        <w:t xml:space="preserve">, Dome and </w:t>
      </w:r>
      <w:proofErr w:type="spellStart"/>
      <w:r>
        <w:t>Madina</w:t>
      </w:r>
      <w:proofErr w:type="spellEnd"/>
      <w:r>
        <w:t xml:space="preserve"> Markets and so there is no need for the migrants to commute to the markets. They live and work in these markets. These markets are well-known as the hub of both wh</w:t>
      </w:r>
      <w:r>
        <w:t xml:space="preserve">olesale and retail of major staples such as yam, plantain, maize, beans, and assorted vegetables from within Ghana and other West African countries such as </w:t>
      </w:r>
      <w:proofErr w:type="spellStart"/>
      <w:r>
        <w:t>Baukina</w:t>
      </w:r>
      <w:proofErr w:type="spellEnd"/>
      <w:r>
        <w:t xml:space="preserve"> Faso, Niger and Togo. </w:t>
      </w:r>
    </w:p>
    <w:p w:rsidR="004911DF" w:rsidRDefault="003B3254">
      <w:pPr>
        <w:pStyle w:val="NoSpacing"/>
        <w:jc w:val="both"/>
      </w:pPr>
      <w:r>
        <w:t xml:space="preserve">     The </w:t>
      </w:r>
      <w:proofErr w:type="spellStart"/>
      <w:r>
        <w:t>Abgogbloshie</w:t>
      </w:r>
      <w:proofErr w:type="spellEnd"/>
      <w:r>
        <w:t xml:space="preserve"> market, also known as the Old </w:t>
      </w:r>
      <w:proofErr w:type="spellStart"/>
      <w:r>
        <w:t>Fadama</w:t>
      </w:r>
      <w:proofErr w:type="spellEnd"/>
      <w:r>
        <w:t xml:space="preserve"> market, is</w:t>
      </w:r>
      <w:r>
        <w:t xml:space="preserve"> located in the central business district of Accra. It has a population of about 40,000 persons (2010 Housing and Population Census). The </w:t>
      </w:r>
      <w:proofErr w:type="spellStart"/>
      <w:r>
        <w:t>Agbogbloshie</w:t>
      </w:r>
      <w:proofErr w:type="spellEnd"/>
      <w:r>
        <w:t xml:space="preserve"> community is of recent origin. </w:t>
      </w:r>
      <w:proofErr w:type="spellStart"/>
      <w:r>
        <w:t>Agbobloshie</w:t>
      </w:r>
      <w:proofErr w:type="spellEnd"/>
      <w:r>
        <w:t xml:space="preserve"> is well known as the dumping ground for electronic waste (e-wa</w:t>
      </w:r>
      <w:r>
        <w:t xml:space="preserve">ste) from developed nations. It is also known as the largest onion market in Ghana. In the 1960s </w:t>
      </w:r>
      <w:proofErr w:type="spellStart"/>
      <w:r>
        <w:t>Agbobloshie</w:t>
      </w:r>
      <w:proofErr w:type="spellEnd"/>
      <w:r>
        <w:t xml:space="preserve"> was a wetland known as Old </w:t>
      </w:r>
      <w:proofErr w:type="spellStart"/>
      <w:r>
        <w:t>Fadama</w:t>
      </w:r>
      <w:proofErr w:type="spellEnd"/>
      <w:r>
        <w:t xml:space="preserve"> or </w:t>
      </w:r>
      <w:proofErr w:type="spellStart"/>
      <w:r>
        <w:t>Ayalolo</w:t>
      </w:r>
      <w:proofErr w:type="spellEnd"/>
      <w:r>
        <w:rPr>
          <w:vertAlign w:val="superscript"/>
        </w:rPr>
        <w:footnoteReference w:id="2"/>
      </w:r>
      <w:r>
        <w:t xml:space="preserve">. In the early 1980s it was populated by internally displaced persons from the </w:t>
      </w:r>
      <w:proofErr w:type="spellStart"/>
      <w:r>
        <w:t>Kokomba-Nanumba</w:t>
      </w:r>
      <w:proofErr w:type="spellEnd"/>
      <w:r>
        <w:t xml:space="preserve"> war in </w:t>
      </w:r>
      <w:r>
        <w:t>the Northern region of Ghana (</w:t>
      </w:r>
      <w:proofErr w:type="spellStart"/>
      <w:r>
        <w:t>Dakubu</w:t>
      </w:r>
      <w:proofErr w:type="spellEnd"/>
      <w:r>
        <w:t xml:space="preserve"> 1997), though migrants from other parts of Ghana can be found there. The market and the community itself overlap making the boundaries between the two a little bit blurred. The landscape of the </w:t>
      </w:r>
      <w:proofErr w:type="spellStart"/>
      <w:r>
        <w:t>Agbogbloshie</w:t>
      </w:r>
      <w:proofErr w:type="spellEnd"/>
      <w:r>
        <w:t xml:space="preserve"> community is</w:t>
      </w:r>
      <w:r>
        <w:t xml:space="preserve"> </w:t>
      </w:r>
      <w:proofErr w:type="spellStart"/>
      <w:r>
        <w:t>characterised</w:t>
      </w:r>
      <w:proofErr w:type="spellEnd"/>
      <w:r>
        <w:t xml:space="preserve"> by wooden structures, thus, making the area a hot destination for fire outbreaks, which is also partly due to the haphazard nature of electrical wiring. Also, there are dormitories that have been constructed by Non-governmental and Christian</w:t>
      </w:r>
      <w:r>
        <w:t xml:space="preserve"> </w:t>
      </w:r>
      <w:proofErr w:type="spellStart"/>
      <w:r>
        <w:t>organisations</w:t>
      </w:r>
      <w:proofErr w:type="spellEnd"/>
      <w:r>
        <w:t xml:space="preserve">, as well as some individuals around the market which provide basic sleeping places for these migrants. Furthermore, the community is poorly demarcated; it has no running water and sanitation facilities. It is also known to be the hideout of </w:t>
      </w:r>
      <w:r>
        <w:t xml:space="preserve">drug peddlers, prostitutes and armed </w:t>
      </w:r>
      <w:r>
        <w:lastRenderedPageBreak/>
        <w:t>robbers. The area is heavily polluted with smoke coming from the burning of the e-waste. Perhaps, in recognition of the harsh living conditions of the area, the area has been nicknamed Sodom and Gomorrah. Many of the pe</w:t>
      </w:r>
      <w:r>
        <w:t xml:space="preserve">ople who live at </w:t>
      </w:r>
      <w:proofErr w:type="spellStart"/>
      <w:r>
        <w:t>Agbogbloshie</w:t>
      </w:r>
      <w:proofErr w:type="spellEnd"/>
      <w:r>
        <w:t xml:space="preserve"> work around the market.</w:t>
      </w:r>
    </w:p>
    <w:p w:rsidR="004911DF" w:rsidRDefault="003B3254">
      <w:pPr>
        <w:pStyle w:val="NoSpacing"/>
        <w:jc w:val="both"/>
      </w:pPr>
      <w:r>
        <w:t xml:space="preserve">     The </w:t>
      </w:r>
      <w:proofErr w:type="spellStart"/>
      <w:r>
        <w:t>Madina</w:t>
      </w:r>
      <w:proofErr w:type="spellEnd"/>
      <w:r>
        <w:t xml:space="preserve"> market, the second research site, is within the </w:t>
      </w:r>
      <w:proofErr w:type="spellStart"/>
      <w:r>
        <w:t>Madina</w:t>
      </w:r>
      <w:proofErr w:type="spellEnd"/>
      <w:r>
        <w:t xml:space="preserve"> community and is located on the North-eastern part of Accra, in the La </w:t>
      </w:r>
      <w:proofErr w:type="spellStart"/>
      <w:r>
        <w:t>Nkwantanang-Madina</w:t>
      </w:r>
      <w:proofErr w:type="spellEnd"/>
      <w:r>
        <w:t xml:space="preserve"> Municipal Assembly. The community was est</w:t>
      </w:r>
      <w:r>
        <w:t>ablished by migrants on 14</w:t>
      </w:r>
      <w:r>
        <w:rPr>
          <w:vertAlign w:val="superscript"/>
        </w:rPr>
        <w:t>th</w:t>
      </w:r>
      <w:r>
        <w:t xml:space="preserve"> June 1959 (</w:t>
      </w:r>
      <w:proofErr w:type="spellStart"/>
      <w:r>
        <w:t>Quarcoo</w:t>
      </w:r>
      <w:proofErr w:type="spellEnd"/>
      <w:r>
        <w:t xml:space="preserve"> et al 1967, </w:t>
      </w:r>
      <w:proofErr w:type="spellStart"/>
      <w:r>
        <w:t>Dakubu</w:t>
      </w:r>
      <w:proofErr w:type="spellEnd"/>
      <w:r>
        <w:t xml:space="preserve">, 1997; </w:t>
      </w:r>
      <w:proofErr w:type="spellStart"/>
      <w:r>
        <w:t>Ntewusu</w:t>
      </w:r>
      <w:proofErr w:type="spellEnd"/>
      <w:r>
        <w:t xml:space="preserve"> 2005). The migrants, led by </w:t>
      </w:r>
      <w:proofErr w:type="spellStart"/>
      <w:r>
        <w:t>Alhaji</w:t>
      </w:r>
      <w:proofErr w:type="spellEnd"/>
      <w:r>
        <w:t xml:space="preserve"> </w:t>
      </w:r>
      <w:proofErr w:type="spellStart"/>
      <w:r>
        <w:t>Seidu</w:t>
      </w:r>
      <w:proofErr w:type="spellEnd"/>
      <w:r>
        <w:t xml:space="preserve"> </w:t>
      </w:r>
      <w:proofErr w:type="spellStart"/>
      <w:r>
        <w:t>Kardo</w:t>
      </w:r>
      <w:proofErr w:type="spellEnd"/>
      <w:r>
        <w:t xml:space="preserve"> were given the land by the Ga </w:t>
      </w:r>
      <w:proofErr w:type="spellStart"/>
      <w:r>
        <w:t>Mantse</w:t>
      </w:r>
      <w:proofErr w:type="spellEnd"/>
      <w:r>
        <w:t>, the chief and land owner of the Ga people, the ethnolinguistic group who originate from A</w:t>
      </w:r>
      <w:r>
        <w:t>ccra. The total initial population of this settlement was 849 persons (</w:t>
      </w:r>
      <w:proofErr w:type="spellStart"/>
      <w:r>
        <w:t>Dakubu</w:t>
      </w:r>
      <w:proofErr w:type="spellEnd"/>
      <w:r>
        <w:t>, 1997: 7). Today, it is ranked the most 12</w:t>
      </w:r>
      <w:r>
        <w:rPr>
          <w:vertAlign w:val="superscript"/>
        </w:rPr>
        <w:t>th</w:t>
      </w:r>
      <w:r>
        <w:t xml:space="preserve"> populous settlement in Ghana with a population of 137,162 persons (2010 Housing and Population Census). The market serves not only th</w:t>
      </w:r>
      <w:r>
        <w:t xml:space="preserve">e </w:t>
      </w:r>
      <w:proofErr w:type="spellStart"/>
      <w:r>
        <w:t>Madina</w:t>
      </w:r>
      <w:proofErr w:type="spellEnd"/>
      <w:r>
        <w:t xml:space="preserve"> community but also outlying areas such as Legon, </w:t>
      </w:r>
      <w:proofErr w:type="spellStart"/>
      <w:r>
        <w:t>Adentan</w:t>
      </w:r>
      <w:proofErr w:type="spellEnd"/>
      <w:r>
        <w:t xml:space="preserve">, </w:t>
      </w:r>
      <w:proofErr w:type="spellStart"/>
      <w:r>
        <w:t>Ashaley</w:t>
      </w:r>
      <w:proofErr w:type="spellEnd"/>
      <w:r>
        <w:t xml:space="preserve"> </w:t>
      </w:r>
      <w:proofErr w:type="spellStart"/>
      <w:r>
        <w:t>Botwe</w:t>
      </w:r>
      <w:proofErr w:type="spellEnd"/>
      <w:r>
        <w:t xml:space="preserve">, East Legon, </w:t>
      </w:r>
      <w:proofErr w:type="spellStart"/>
      <w:r>
        <w:t>Abokobi</w:t>
      </w:r>
      <w:proofErr w:type="spellEnd"/>
      <w:r>
        <w:t xml:space="preserve"> etc. Unlike the </w:t>
      </w:r>
      <w:proofErr w:type="spellStart"/>
      <w:r>
        <w:t>Agbogbloshie</w:t>
      </w:r>
      <w:proofErr w:type="spellEnd"/>
      <w:r>
        <w:t xml:space="preserve"> community, the </w:t>
      </w:r>
      <w:proofErr w:type="spellStart"/>
      <w:r>
        <w:t>Madina</w:t>
      </w:r>
      <w:proofErr w:type="spellEnd"/>
      <w:r>
        <w:t xml:space="preserve"> community boasts of modern buildings.</w:t>
      </w:r>
    </w:p>
    <w:p w:rsidR="004911DF" w:rsidRDefault="003B3254">
      <w:pPr>
        <w:pStyle w:val="NoSpacing"/>
        <w:jc w:val="both"/>
      </w:pPr>
      <w:r>
        <w:t xml:space="preserve">     The third research site, Dome market, is situated in the Ga </w:t>
      </w:r>
      <w:r>
        <w:t>East Municipal Assembly. With a population of 78,785, it is the 19</w:t>
      </w:r>
      <w:r>
        <w:rPr>
          <w:vertAlign w:val="superscript"/>
        </w:rPr>
        <w:t>th</w:t>
      </w:r>
      <w:r>
        <w:t xml:space="preserve"> largest settlement in Ghana in terms of its population. Like </w:t>
      </w:r>
      <w:proofErr w:type="spellStart"/>
      <w:r>
        <w:t>Madina</w:t>
      </w:r>
      <w:proofErr w:type="spellEnd"/>
      <w:r>
        <w:t>, the community boasts of modern facilities and is home to people from different ethnic groups. The Dome market serves o</w:t>
      </w:r>
      <w:r>
        <w:t xml:space="preserve">ther communities such as </w:t>
      </w:r>
      <w:proofErr w:type="spellStart"/>
      <w:r>
        <w:t>Kwabenya</w:t>
      </w:r>
      <w:proofErr w:type="spellEnd"/>
      <w:r>
        <w:t xml:space="preserve"> , </w:t>
      </w:r>
      <w:proofErr w:type="spellStart"/>
      <w:r>
        <w:t>Taifa</w:t>
      </w:r>
      <w:proofErr w:type="spellEnd"/>
      <w:r>
        <w:t xml:space="preserve">, </w:t>
      </w:r>
      <w:proofErr w:type="spellStart"/>
      <w:r>
        <w:t>Ashongman</w:t>
      </w:r>
      <w:proofErr w:type="spellEnd"/>
      <w:r>
        <w:t xml:space="preserve">, and the </w:t>
      </w:r>
      <w:proofErr w:type="spellStart"/>
      <w:r>
        <w:t>Ofankor</w:t>
      </w:r>
      <w:proofErr w:type="spellEnd"/>
      <w:r>
        <w:t xml:space="preserve"> area. There is a railway line that feeds the market with foodstuffs from other parts of the country. As such it is a destination for migrants from rural Ga as well as </w:t>
      </w:r>
      <w:proofErr w:type="spellStart"/>
      <w:r>
        <w:t>peri</w:t>
      </w:r>
      <w:proofErr w:type="spellEnd"/>
      <w:r>
        <w:t xml:space="preserve"> urban towns ou</w:t>
      </w:r>
      <w:r>
        <w:t>tside Accra. The majority of the residents are traders and civil servants.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rPr>
        <w:t>4. Data Collection Methods</w:t>
      </w:r>
    </w:p>
    <w:p w:rsidR="004911DF" w:rsidRDefault="003B3254">
      <w:pPr>
        <w:pStyle w:val="NoSpacing"/>
        <w:jc w:val="both"/>
      </w:pPr>
      <w:r>
        <w:t xml:space="preserve">     The target population were </w:t>
      </w:r>
      <w:proofErr w:type="spellStart"/>
      <w:r>
        <w:rPr>
          <w:i/>
          <w:iCs/>
        </w:rPr>
        <w:t>kayayei</w:t>
      </w:r>
      <w:proofErr w:type="spellEnd"/>
      <w:r>
        <w:t xml:space="preserve"> who work at the three markets. We identified specific spots at the markets where they congregate and interviewed </w:t>
      </w:r>
      <w:r>
        <w:t xml:space="preserve">those who were willing to take part in the study. In other cases, they were spotted when carrying goods to awaiting taxis, cars and </w:t>
      </w:r>
      <w:proofErr w:type="spellStart"/>
      <w:r>
        <w:rPr>
          <w:i/>
          <w:iCs/>
          <w:lang w:val="es-ES_tradnl"/>
        </w:rPr>
        <w:t>trotros</w:t>
      </w:r>
      <w:proofErr w:type="spellEnd"/>
      <w:r>
        <w:t xml:space="preserve"> or to market stalls or when they were carrying the head pan, looking for customers. The main instruments used for ga</w:t>
      </w:r>
      <w:r>
        <w:t xml:space="preserve">thering data were interviews, questionnaires and observation. In all 118 respondents provided information for the study. The </w:t>
      </w:r>
      <w:proofErr w:type="spellStart"/>
      <w:r>
        <w:rPr>
          <w:i/>
          <w:iCs/>
        </w:rPr>
        <w:t>kayayei</w:t>
      </w:r>
      <w:proofErr w:type="spellEnd"/>
      <w:r>
        <w:t xml:space="preserve"> were interviewed on their demographic characteristics, why they have migrated to Accra and the language used in their inter</w:t>
      </w:r>
      <w:r>
        <w:t>actions with customers, family and friends. The questionnaires were both open-ended and closed-ended. The answers were written by the researchers due to the fact that most of the respondents were not literate. The interviews lasted for between 30 minutes a</w:t>
      </w:r>
      <w:r>
        <w:t xml:space="preserve">nd one hour. The interviews were conducted mainly in </w:t>
      </w:r>
      <w:r>
        <w:rPr>
          <w:i/>
          <w:iCs/>
        </w:rPr>
        <w:t xml:space="preserve">Twi, a major dialect of </w:t>
      </w:r>
      <w:proofErr w:type="spellStart"/>
      <w:r>
        <w:t>Akans</w:t>
      </w:r>
      <w:proofErr w:type="spellEnd"/>
      <w:r>
        <w:t xml:space="preserve"> which emerged as the dominant language used in the three markets, and Mole-Dagbani which emerged as the L1 or L2 of majority of our respondents. However, there were instance</w:t>
      </w:r>
      <w:r>
        <w:t>s in situations where none of the researchers or research assistants did not speak a respondent</w:t>
      </w:r>
      <w:r>
        <w:rPr>
          <w:rFonts w:hAnsi="Times New Roman"/>
        </w:rPr>
        <w:t>’</w:t>
      </w:r>
      <w:r>
        <w:t xml:space="preserve">s language, we had to rely on interpreters (from other </w:t>
      </w:r>
      <w:proofErr w:type="spellStart"/>
      <w:r>
        <w:rPr>
          <w:i/>
          <w:iCs/>
        </w:rPr>
        <w:t>kayaye</w:t>
      </w:r>
      <w:proofErr w:type="spellEnd"/>
      <w:r>
        <w:rPr>
          <w:i/>
          <w:iCs/>
        </w:rPr>
        <w:t xml:space="preserve"> </w:t>
      </w:r>
      <w:r>
        <w:t>or other workers in the markets) for the interview. Additional data were collected through the obs</w:t>
      </w:r>
      <w:r>
        <w:t>ervation of the interactions between the</w:t>
      </w:r>
      <w:r>
        <w:rPr>
          <w:i/>
          <w:iCs/>
        </w:rPr>
        <w:t xml:space="preserve"> </w:t>
      </w:r>
      <w:proofErr w:type="spellStart"/>
      <w:r>
        <w:rPr>
          <w:i/>
          <w:iCs/>
        </w:rPr>
        <w:t>kayayei</w:t>
      </w:r>
      <w:proofErr w:type="spellEnd"/>
      <w:r>
        <w:t xml:space="preserve"> and their customers and also with their peers. The data obtained were </w:t>
      </w:r>
      <w:proofErr w:type="spellStart"/>
      <w:r>
        <w:t>analysed</w:t>
      </w:r>
      <w:proofErr w:type="spellEnd"/>
      <w:r>
        <w:t xml:space="preserve"> both qualitatively and quantitatively.</w:t>
      </w:r>
    </w:p>
    <w:p w:rsidR="004911DF" w:rsidRDefault="004911DF">
      <w:pPr>
        <w:pStyle w:val="NoSpacing"/>
        <w:jc w:val="both"/>
        <w:rPr>
          <w:i/>
          <w:iCs/>
        </w:rPr>
      </w:pPr>
    </w:p>
    <w:p w:rsidR="004911DF" w:rsidRDefault="003B3254">
      <w:pPr>
        <w:pStyle w:val="NoSpacing"/>
        <w:jc w:val="both"/>
        <w:rPr>
          <w:rFonts w:ascii="Times New Roman Bold" w:eastAsia="Times New Roman Bold" w:hAnsi="Times New Roman Bold" w:cs="Times New Roman Bold"/>
        </w:rPr>
      </w:pPr>
      <w:r>
        <w:rPr>
          <w:rFonts w:ascii="Times New Roman Bold"/>
        </w:rPr>
        <w:t>5. Findings and Discussion</w:t>
      </w:r>
    </w:p>
    <w:p w:rsidR="004911DF" w:rsidRDefault="003B3254">
      <w:pPr>
        <w:pStyle w:val="NoSpacing"/>
        <w:jc w:val="both"/>
      </w:pPr>
      <w:r>
        <w:t xml:space="preserve">     The analysis presented here originated from a multisite project that examined linguistic challenges and coping strategies among female migrants (from northern Ghana) in three urban markets in Ghana. Data were collected from three very busy and popular</w:t>
      </w:r>
      <w:r>
        <w:t xml:space="preserve"> markets in Accra: </w:t>
      </w:r>
      <w:proofErr w:type="spellStart"/>
      <w:r>
        <w:t>Abogbogbloshie</w:t>
      </w:r>
      <w:proofErr w:type="spellEnd"/>
      <w:r>
        <w:t xml:space="preserve">, </w:t>
      </w:r>
      <w:proofErr w:type="spellStart"/>
      <w:r>
        <w:t>Madina</w:t>
      </w:r>
      <w:proofErr w:type="spellEnd"/>
      <w:r>
        <w:t xml:space="preserve"> and Dome markets. </w:t>
      </w:r>
    </w:p>
    <w:p w:rsidR="004911DF" w:rsidRDefault="004911DF">
      <w:pPr>
        <w:pStyle w:val="NoSpacing"/>
        <w:jc w:val="both"/>
      </w:pPr>
    </w:p>
    <w:p w:rsidR="004911DF" w:rsidRDefault="003B3254">
      <w:pPr>
        <w:pStyle w:val="NoSpacing"/>
        <w:jc w:val="both"/>
        <w:rPr>
          <w:i/>
          <w:iCs/>
        </w:rPr>
      </w:pPr>
      <w:r>
        <w:t xml:space="preserve">5.1 </w:t>
      </w:r>
      <w:r>
        <w:rPr>
          <w:i/>
          <w:iCs/>
        </w:rPr>
        <w:t>Characteristics of the Respondents</w:t>
      </w:r>
    </w:p>
    <w:p w:rsidR="004911DF" w:rsidRDefault="003B3254">
      <w:pPr>
        <w:pStyle w:val="NoSpacing"/>
        <w:jc w:val="both"/>
      </w:pPr>
      <w:r>
        <w:t xml:space="preserve">The youngest respondent was 10 years old with the oldest being 57 years. Majority of the respondents were between the ages of 10 and 24 years constituting almost 54 percent. Twenty </w:t>
      </w:r>
      <w:r>
        <w:lastRenderedPageBreak/>
        <w:t>percent (20%) of the respondents had no idea of their ages. Surprisingly, o</w:t>
      </w:r>
      <w:r>
        <w:t xml:space="preserve">nly one of the 118 respondents was between the ages of 44 and 69. All the 118 migrants were female who were mostly engaged in head porterage (carrying wares/goods for fees) which explains why they are normally referred to as </w:t>
      </w:r>
      <w:proofErr w:type="spellStart"/>
      <w:r>
        <w:rPr>
          <w:i/>
          <w:iCs/>
        </w:rPr>
        <w:t>Kayayei</w:t>
      </w:r>
      <w:proofErr w:type="spellEnd"/>
      <w:r>
        <w:t xml:space="preserve"> (Female head porters). </w:t>
      </w:r>
      <w:r>
        <w:t>Indeed, when we asked respondents to indicate their type of work, 96.5% indicated that they were</w:t>
      </w:r>
      <w:r>
        <w:rPr>
          <w:i/>
          <w:iCs/>
        </w:rPr>
        <w:t xml:space="preserve"> </w:t>
      </w:r>
      <w:proofErr w:type="spellStart"/>
      <w:r>
        <w:rPr>
          <w:i/>
          <w:iCs/>
        </w:rPr>
        <w:t>Kayaye</w:t>
      </w:r>
      <w:proofErr w:type="spellEnd"/>
      <w:r>
        <w:t>. The rest said they engaged in petty trading and dish washing mainly but also carried goods sometimes. Figure 1 below shows the age distribution of resp</w:t>
      </w:r>
      <w:r>
        <w:t>ondents.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t>Figure 1: Age Distribution of Respondents</w:t>
      </w:r>
    </w:p>
    <w:p w:rsidR="004911DF" w:rsidRDefault="004911DF">
      <w:pPr>
        <w:pStyle w:val="NoSpacing"/>
        <w:jc w:val="both"/>
        <w:rPr>
          <w:rFonts w:ascii="Times New Roman Bold" w:eastAsia="Times New Roman Bold" w:hAnsi="Times New Roman Bold" w:cs="Times New Roman Bold"/>
          <w:sz w:val="20"/>
          <w:szCs w:val="20"/>
        </w:rPr>
      </w:pPr>
    </w:p>
    <w:p w:rsidR="004911DF" w:rsidRDefault="003B3254">
      <w:pPr>
        <w:pStyle w:val="NoSpacing"/>
        <w:jc w:val="both"/>
      </w:pPr>
      <w:r>
        <w:rPr>
          <w:noProof/>
        </w:rPr>
        <w:drawing>
          <wp:inline distT="0" distB="0" distL="0" distR="0">
            <wp:extent cx="5251450" cy="3346483"/>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7">
                      <a:extLst/>
                    </a:blip>
                    <a:stretch>
                      <a:fillRect/>
                    </a:stretch>
                  </pic:blipFill>
                  <pic:spPr>
                    <a:xfrm>
                      <a:off x="0" y="0"/>
                      <a:ext cx="5251450" cy="3346483"/>
                    </a:xfrm>
                    <a:prstGeom prst="rect">
                      <a:avLst/>
                    </a:prstGeom>
                    <a:ln w="12700" cap="flat">
                      <a:noFill/>
                      <a:miter lim="400000"/>
                    </a:ln>
                    <a:effectLst/>
                  </pic:spPr>
                </pic:pic>
              </a:graphicData>
            </a:graphic>
          </wp:inline>
        </w:drawing>
      </w:r>
    </w:p>
    <w:p w:rsidR="004911DF" w:rsidRDefault="003B3254">
      <w:pPr>
        <w:pStyle w:val="NoSpacing"/>
        <w:jc w:val="both"/>
      </w:pPr>
      <w:r>
        <w:t>N=118</w:t>
      </w:r>
    </w:p>
    <w:p w:rsidR="004911DF" w:rsidRDefault="004911DF">
      <w:pPr>
        <w:pStyle w:val="NoSpacing"/>
        <w:jc w:val="both"/>
      </w:pPr>
    </w:p>
    <w:p w:rsidR="004911DF" w:rsidRDefault="003B3254">
      <w:pPr>
        <w:pStyle w:val="NoSpacing"/>
        <w:jc w:val="both"/>
      </w:pPr>
      <w:r>
        <w:t xml:space="preserve"> It is of interest to note that Ghana purports to be implementing a Free, Compulsory Universal Basic Education (FCUBE) policy, only 57.9 of the predominantly youthful migrants have received form</w:t>
      </w:r>
      <w:r>
        <w:t xml:space="preserve">al education. The remaining 42.1% have had no education at all. Table 1 below shows the level of education of the </w:t>
      </w:r>
      <w:proofErr w:type="spellStart"/>
      <w:r>
        <w:rPr>
          <w:i/>
          <w:iCs/>
        </w:rPr>
        <w:t>Kayaye</w:t>
      </w:r>
      <w:proofErr w:type="spellEnd"/>
      <w:r>
        <w:t xml:space="preserve"> in these urban markets.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2"/>
          <w:szCs w:val="22"/>
        </w:rPr>
      </w:pPr>
      <w:r>
        <w:rPr>
          <w:rFonts w:ascii="Times New Roman Bold"/>
          <w:sz w:val="20"/>
          <w:szCs w:val="20"/>
        </w:rPr>
        <w:t xml:space="preserve">Table 1: level of education among </w:t>
      </w:r>
      <w:proofErr w:type="spellStart"/>
      <w:r>
        <w:rPr>
          <w:b/>
          <w:bCs/>
          <w:i/>
          <w:iCs/>
          <w:sz w:val="20"/>
          <w:szCs w:val="20"/>
        </w:rPr>
        <w:t>kayaye</w:t>
      </w:r>
      <w:proofErr w:type="spellEnd"/>
      <w:r>
        <w:rPr>
          <w:rFonts w:ascii="Times New Roman Bold" w:eastAsia="Times New Roman Bold" w:hAnsi="Times New Roman Bold" w:cs="Times New Roman Bold"/>
          <w:sz w:val="22"/>
          <w:szCs w:val="22"/>
        </w:rPr>
        <w:tab/>
      </w:r>
      <w:r>
        <w:rPr>
          <w:rFonts w:ascii="Times New Roman Bold" w:eastAsia="Times New Roman Bold" w:hAnsi="Times New Roman Bold" w:cs="Times New Roman Bold"/>
          <w:sz w:val="22"/>
          <w:szCs w:val="22"/>
        </w:rPr>
        <w:tab/>
      </w:r>
      <w:r>
        <w:rPr>
          <w:rFonts w:ascii="Times New Roman Bold" w:eastAsia="Times New Roman Bold" w:hAnsi="Times New Roman Bold" w:cs="Times New Roman Bold"/>
          <w:sz w:val="22"/>
          <w:szCs w:val="22"/>
        </w:rPr>
        <w:tab/>
      </w:r>
      <w:r>
        <w:rPr>
          <w:rFonts w:ascii="Times New Roman Bold" w:eastAsia="Times New Roman Bold" w:hAnsi="Times New Roman Bold" w:cs="Times New Roman Bold"/>
          <w:sz w:val="22"/>
          <w:szCs w:val="22"/>
        </w:rPr>
        <w:tab/>
      </w:r>
      <w:r>
        <w:rPr>
          <w:rFonts w:ascii="Times New Roman Bold" w:eastAsia="Times New Roman Bold" w:hAnsi="Times New Roman Bold" w:cs="Times New Roman Bold"/>
          <w:sz w:val="22"/>
          <w:szCs w:val="22"/>
        </w:rPr>
        <w:tab/>
      </w:r>
    </w:p>
    <w:p w:rsidR="004911DF" w:rsidRDefault="003B3254">
      <w:pPr>
        <w:pStyle w:val="NoSpacing"/>
        <w:jc w:val="both"/>
        <w:rPr>
          <w:sz w:val="22"/>
          <w:szCs w:val="22"/>
        </w:rPr>
      </w:pPr>
      <w:r>
        <w:rPr>
          <w:sz w:val="22"/>
          <w:szCs w:val="22"/>
        </w:rPr>
        <w:t>Level</w:t>
      </w:r>
      <w:r>
        <w:rPr>
          <w:sz w:val="22"/>
          <w:szCs w:val="22"/>
        </w:rPr>
        <w:tab/>
      </w:r>
      <w:r>
        <w:rPr>
          <w:sz w:val="22"/>
          <w:szCs w:val="22"/>
        </w:rPr>
        <w:tab/>
      </w:r>
      <w:r>
        <w:rPr>
          <w:sz w:val="22"/>
          <w:szCs w:val="22"/>
        </w:rPr>
        <w:tab/>
        <w:t xml:space="preserve">      Frequency</w:t>
      </w:r>
      <w:r>
        <w:rPr>
          <w:sz w:val="22"/>
          <w:szCs w:val="22"/>
        </w:rPr>
        <w:tab/>
        <w:t>Percent</w:t>
      </w:r>
      <w:r>
        <w:rPr>
          <w:sz w:val="22"/>
          <w:szCs w:val="22"/>
        </w:rPr>
        <w:tab/>
      </w:r>
      <w:r>
        <w:rPr>
          <w:sz w:val="22"/>
          <w:szCs w:val="22"/>
        </w:rPr>
        <w:tab/>
        <w:t>Valid Percent</w:t>
      </w:r>
      <w:r>
        <w:rPr>
          <w:sz w:val="22"/>
          <w:szCs w:val="22"/>
        </w:rPr>
        <w:tab/>
        <w:t>Cumulative Percen</w:t>
      </w:r>
      <w:r>
        <w:rPr>
          <w:sz w:val="22"/>
          <w:szCs w:val="22"/>
        </w:rPr>
        <w:t>t</w:t>
      </w:r>
    </w:p>
    <w:p w:rsidR="004911DF" w:rsidRDefault="003B3254">
      <w:pPr>
        <w:pStyle w:val="NoSpacing"/>
        <w:jc w:val="both"/>
        <w:rPr>
          <w:sz w:val="22"/>
          <w:szCs w:val="22"/>
        </w:rPr>
      </w:pPr>
      <w:r>
        <w:rPr>
          <w:sz w:val="22"/>
          <w:szCs w:val="22"/>
        </w:rPr>
        <w:t>primary</w:t>
      </w:r>
      <w:r>
        <w:rPr>
          <w:sz w:val="22"/>
          <w:szCs w:val="22"/>
        </w:rPr>
        <w:tab/>
      </w:r>
      <w:r>
        <w:rPr>
          <w:sz w:val="22"/>
          <w:szCs w:val="22"/>
        </w:rPr>
        <w:tab/>
      </w:r>
      <w:r>
        <w:rPr>
          <w:sz w:val="22"/>
          <w:szCs w:val="22"/>
        </w:rPr>
        <w:tab/>
      </w:r>
      <w:r>
        <w:rPr>
          <w:sz w:val="22"/>
          <w:szCs w:val="22"/>
        </w:rPr>
        <w:tab/>
        <w:t>59</w:t>
      </w:r>
      <w:r>
        <w:rPr>
          <w:sz w:val="22"/>
          <w:szCs w:val="22"/>
        </w:rPr>
        <w:tab/>
        <w:t>50.0</w:t>
      </w:r>
      <w:r>
        <w:rPr>
          <w:sz w:val="22"/>
          <w:szCs w:val="22"/>
        </w:rPr>
        <w:tab/>
      </w:r>
      <w:r>
        <w:rPr>
          <w:sz w:val="22"/>
          <w:szCs w:val="22"/>
        </w:rPr>
        <w:tab/>
        <w:t>51.8</w:t>
      </w:r>
      <w:r>
        <w:rPr>
          <w:sz w:val="22"/>
          <w:szCs w:val="22"/>
        </w:rPr>
        <w:tab/>
      </w:r>
      <w:r>
        <w:rPr>
          <w:sz w:val="22"/>
          <w:szCs w:val="22"/>
        </w:rPr>
        <w:tab/>
        <w:t>51.8</w:t>
      </w:r>
    </w:p>
    <w:p w:rsidR="004911DF" w:rsidRDefault="003B3254">
      <w:pPr>
        <w:pStyle w:val="NoSpacing"/>
        <w:jc w:val="both"/>
        <w:rPr>
          <w:sz w:val="22"/>
          <w:szCs w:val="22"/>
        </w:rPr>
      </w:pPr>
      <w:r>
        <w:rPr>
          <w:sz w:val="22"/>
          <w:szCs w:val="22"/>
        </w:rPr>
        <w:t>junior high school</w:t>
      </w:r>
      <w:r>
        <w:rPr>
          <w:sz w:val="22"/>
          <w:szCs w:val="22"/>
        </w:rPr>
        <w:tab/>
      </w:r>
      <w:r>
        <w:rPr>
          <w:sz w:val="22"/>
          <w:szCs w:val="22"/>
        </w:rPr>
        <w:tab/>
        <w:t>4</w:t>
      </w:r>
      <w:r>
        <w:rPr>
          <w:sz w:val="22"/>
          <w:szCs w:val="22"/>
        </w:rPr>
        <w:tab/>
        <w:t>3.4</w:t>
      </w:r>
      <w:r>
        <w:rPr>
          <w:sz w:val="22"/>
          <w:szCs w:val="22"/>
        </w:rPr>
        <w:tab/>
      </w:r>
      <w:r>
        <w:rPr>
          <w:sz w:val="22"/>
          <w:szCs w:val="22"/>
        </w:rPr>
        <w:tab/>
        <w:t>3.5</w:t>
      </w:r>
      <w:r>
        <w:rPr>
          <w:sz w:val="22"/>
          <w:szCs w:val="22"/>
        </w:rPr>
        <w:tab/>
      </w:r>
      <w:r>
        <w:rPr>
          <w:sz w:val="22"/>
          <w:szCs w:val="22"/>
        </w:rPr>
        <w:tab/>
        <w:t>55.3</w:t>
      </w:r>
    </w:p>
    <w:p w:rsidR="004911DF" w:rsidRDefault="003B3254">
      <w:pPr>
        <w:pStyle w:val="NoSpacing"/>
        <w:jc w:val="both"/>
        <w:rPr>
          <w:sz w:val="22"/>
          <w:szCs w:val="22"/>
        </w:rPr>
      </w:pPr>
      <w:r>
        <w:rPr>
          <w:sz w:val="22"/>
          <w:szCs w:val="22"/>
        </w:rPr>
        <w:t>senior high school</w:t>
      </w:r>
      <w:r>
        <w:rPr>
          <w:sz w:val="22"/>
          <w:szCs w:val="22"/>
        </w:rPr>
        <w:tab/>
      </w:r>
      <w:r>
        <w:rPr>
          <w:sz w:val="22"/>
          <w:szCs w:val="22"/>
        </w:rPr>
        <w:tab/>
        <w:t>2</w:t>
      </w:r>
      <w:r>
        <w:rPr>
          <w:sz w:val="22"/>
          <w:szCs w:val="22"/>
        </w:rPr>
        <w:tab/>
        <w:t>1.7</w:t>
      </w:r>
      <w:r>
        <w:rPr>
          <w:sz w:val="22"/>
          <w:szCs w:val="22"/>
        </w:rPr>
        <w:tab/>
      </w:r>
      <w:r>
        <w:rPr>
          <w:sz w:val="22"/>
          <w:szCs w:val="22"/>
        </w:rPr>
        <w:tab/>
        <w:t>1.8</w:t>
      </w:r>
      <w:r>
        <w:rPr>
          <w:sz w:val="22"/>
          <w:szCs w:val="22"/>
        </w:rPr>
        <w:tab/>
      </w:r>
      <w:r>
        <w:rPr>
          <w:sz w:val="22"/>
          <w:szCs w:val="22"/>
        </w:rPr>
        <w:tab/>
        <w:t>57.0</w:t>
      </w:r>
    </w:p>
    <w:p w:rsidR="004911DF" w:rsidRDefault="003B3254">
      <w:pPr>
        <w:pStyle w:val="NoSpacing"/>
        <w:jc w:val="both"/>
        <w:rPr>
          <w:sz w:val="22"/>
          <w:szCs w:val="22"/>
        </w:rPr>
      </w:pPr>
      <w:r>
        <w:rPr>
          <w:sz w:val="22"/>
          <w:szCs w:val="22"/>
        </w:rPr>
        <w:t>tertiary</w:t>
      </w:r>
      <w:r>
        <w:rPr>
          <w:sz w:val="22"/>
          <w:szCs w:val="22"/>
        </w:rPr>
        <w:tab/>
      </w:r>
      <w:r>
        <w:rPr>
          <w:sz w:val="22"/>
          <w:szCs w:val="22"/>
        </w:rPr>
        <w:tab/>
      </w:r>
      <w:r>
        <w:rPr>
          <w:sz w:val="22"/>
          <w:szCs w:val="22"/>
        </w:rPr>
        <w:tab/>
      </w:r>
      <w:r>
        <w:rPr>
          <w:sz w:val="22"/>
          <w:szCs w:val="22"/>
        </w:rPr>
        <w:tab/>
        <w:t>1</w:t>
      </w:r>
      <w:r>
        <w:rPr>
          <w:sz w:val="22"/>
          <w:szCs w:val="22"/>
        </w:rPr>
        <w:tab/>
        <w:t>.8</w:t>
      </w:r>
      <w:r>
        <w:rPr>
          <w:sz w:val="22"/>
          <w:szCs w:val="22"/>
        </w:rPr>
        <w:tab/>
      </w:r>
      <w:r>
        <w:rPr>
          <w:sz w:val="22"/>
          <w:szCs w:val="22"/>
        </w:rPr>
        <w:tab/>
        <w:t>.9</w:t>
      </w:r>
      <w:r>
        <w:rPr>
          <w:sz w:val="22"/>
          <w:szCs w:val="22"/>
        </w:rPr>
        <w:tab/>
      </w:r>
      <w:r>
        <w:rPr>
          <w:sz w:val="22"/>
          <w:szCs w:val="22"/>
        </w:rPr>
        <w:tab/>
        <w:t>57.9</w:t>
      </w:r>
    </w:p>
    <w:p w:rsidR="004911DF" w:rsidRDefault="003B3254">
      <w:pPr>
        <w:pStyle w:val="NoSpacing"/>
        <w:jc w:val="both"/>
        <w:rPr>
          <w:sz w:val="22"/>
          <w:szCs w:val="22"/>
        </w:rPr>
      </w:pPr>
      <w:r>
        <w:rPr>
          <w:sz w:val="22"/>
          <w:szCs w:val="22"/>
        </w:rPr>
        <w:t>no education</w:t>
      </w:r>
      <w:r>
        <w:rPr>
          <w:sz w:val="22"/>
          <w:szCs w:val="22"/>
        </w:rPr>
        <w:tab/>
      </w:r>
      <w:r>
        <w:rPr>
          <w:sz w:val="22"/>
          <w:szCs w:val="22"/>
        </w:rPr>
        <w:tab/>
      </w:r>
      <w:r>
        <w:rPr>
          <w:sz w:val="22"/>
          <w:szCs w:val="22"/>
        </w:rPr>
        <w:tab/>
        <w:t>48</w:t>
      </w:r>
      <w:r>
        <w:rPr>
          <w:sz w:val="22"/>
          <w:szCs w:val="22"/>
        </w:rPr>
        <w:tab/>
        <w:t>40.7</w:t>
      </w:r>
      <w:r>
        <w:rPr>
          <w:sz w:val="22"/>
          <w:szCs w:val="22"/>
        </w:rPr>
        <w:tab/>
      </w:r>
      <w:r>
        <w:rPr>
          <w:sz w:val="22"/>
          <w:szCs w:val="22"/>
        </w:rPr>
        <w:tab/>
        <w:t>42.1</w:t>
      </w:r>
      <w:r>
        <w:rPr>
          <w:sz w:val="22"/>
          <w:szCs w:val="22"/>
        </w:rPr>
        <w:tab/>
      </w:r>
      <w:r>
        <w:rPr>
          <w:sz w:val="22"/>
          <w:szCs w:val="22"/>
        </w:rPr>
        <w:tab/>
        <w:t>100.0</w:t>
      </w:r>
    </w:p>
    <w:p w:rsidR="004911DF" w:rsidRDefault="003B3254">
      <w:pPr>
        <w:pStyle w:val="NoSpacing"/>
        <w:jc w:val="both"/>
        <w:rPr>
          <w:sz w:val="22"/>
          <w:szCs w:val="22"/>
        </w:rPr>
      </w:pPr>
      <w:r>
        <w:rPr>
          <w:sz w:val="22"/>
          <w:szCs w:val="22"/>
        </w:rPr>
        <w:t>Total</w:t>
      </w:r>
      <w:r>
        <w:rPr>
          <w:sz w:val="22"/>
          <w:szCs w:val="22"/>
        </w:rPr>
        <w:tab/>
      </w:r>
      <w:r>
        <w:rPr>
          <w:sz w:val="22"/>
          <w:szCs w:val="22"/>
        </w:rPr>
        <w:tab/>
      </w:r>
      <w:r>
        <w:rPr>
          <w:sz w:val="22"/>
          <w:szCs w:val="22"/>
        </w:rPr>
        <w:tab/>
      </w:r>
      <w:r>
        <w:rPr>
          <w:sz w:val="22"/>
          <w:szCs w:val="22"/>
        </w:rPr>
        <w:tab/>
        <w:t>114</w:t>
      </w:r>
      <w:r>
        <w:rPr>
          <w:sz w:val="22"/>
          <w:szCs w:val="22"/>
        </w:rPr>
        <w:tab/>
        <w:t>96.6</w:t>
      </w:r>
      <w:r>
        <w:rPr>
          <w:sz w:val="22"/>
          <w:szCs w:val="22"/>
        </w:rPr>
        <w:tab/>
      </w:r>
      <w:r>
        <w:rPr>
          <w:sz w:val="22"/>
          <w:szCs w:val="22"/>
        </w:rPr>
        <w:tab/>
        <w:t>100.0</w:t>
      </w:r>
      <w:r>
        <w:rPr>
          <w:sz w:val="22"/>
          <w:szCs w:val="22"/>
        </w:rPr>
        <w:tab/>
      </w:r>
    </w:p>
    <w:p w:rsidR="004911DF" w:rsidRDefault="003B3254">
      <w:pPr>
        <w:pStyle w:val="NoSpacing"/>
        <w:jc w:val="both"/>
        <w:rPr>
          <w:sz w:val="22"/>
          <w:szCs w:val="22"/>
        </w:rPr>
      </w:pPr>
      <w:r>
        <w:rPr>
          <w:sz w:val="22"/>
          <w:szCs w:val="22"/>
        </w:rPr>
        <w:t>Missing</w:t>
      </w:r>
      <w:r>
        <w:rPr>
          <w:sz w:val="22"/>
          <w:szCs w:val="22"/>
        </w:rPr>
        <w:tab/>
        <w:t>NR</w:t>
      </w:r>
      <w:r>
        <w:rPr>
          <w:sz w:val="22"/>
          <w:szCs w:val="22"/>
        </w:rPr>
        <w:tab/>
      </w:r>
      <w:r>
        <w:rPr>
          <w:sz w:val="22"/>
          <w:szCs w:val="22"/>
        </w:rPr>
        <w:tab/>
      </w:r>
      <w:r>
        <w:rPr>
          <w:sz w:val="22"/>
          <w:szCs w:val="22"/>
        </w:rPr>
        <w:tab/>
        <w:t>4</w:t>
      </w:r>
      <w:r>
        <w:rPr>
          <w:sz w:val="22"/>
          <w:szCs w:val="22"/>
        </w:rPr>
        <w:tab/>
        <w:t>3.4</w:t>
      </w:r>
      <w:r>
        <w:rPr>
          <w:sz w:val="22"/>
          <w:szCs w:val="22"/>
        </w:rPr>
        <w:tab/>
      </w:r>
      <w:r>
        <w:rPr>
          <w:sz w:val="22"/>
          <w:szCs w:val="22"/>
        </w:rPr>
        <w:tab/>
      </w:r>
    </w:p>
    <w:p w:rsidR="004911DF" w:rsidRDefault="003B3254">
      <w:pPr>
        <w:pStyle w:val="NoSpacing"/>
        <w:jc w:val="both"/>
        <w:rPr>
          <w:sz w:val="22"/>
          <w:szCs w:val="22"/>
        </w:rPr>
      </w:pPr>
      <w:r>
        <w:rPr>
          <w:sz w:val="22"/>
          <w:szCs w:val="22"/>
        </w:rPr>
        <w:t>Total</w:t>
      </w:r>
      <w:r>
        <w:rPr>
          <w:sz w:val="22"/>
          <w:szCs w:val="22"/>
        </w:rPr>
        <w:tab/>
      </w:r>
      <w:r>
        <w:rPr>
          <w:sz w:val="22"/>
          <w:szCs w:val="22"/>
        </w:rPr>
        <w:tab/>
      </w:r>
      <w:r>
        <w:rPr>
          <w:sz w:val="22"/>
          <w:szCs w:val="22"/>
        </w:rPr>
        <w:tab/>
      </w:r>
      <w:r>
        <w:rPr>
          <w:sz w:val="22"/>
          <w:szCs w:val="22"/>
        </w:rPr>
        <w:tab/>
      </w:r>
      <w:r>
        <w:rPr>
          <w:sz w:val="22"/>
          <w:szCs w:val="22"/>
        </w:rPr>
        <w:tab/>
        <w:t>118</w:t>
      </w:r>
      <w:r>
        <w:rPr>
          <w:sz w:val="22"/>
          <w:szCs w:val="22"/>
        </w:rPr>
        <w:tab/>
        <w:t>100.0</w:t>
      </w:r>
      <w:r>
        <w:rPr>
          <w:sz w:val="22"/>
          <w:szCs w:val="22"/>
        </w:rPr>
        <w:tab/>
      </w:r>
      <w:r>
        <w:rPr>
          <w:sz w:val="22"/>
          <w:szCs w:val="22"/>
        </w:rPr>
        <w:tab/>
      </w:r>
    </w:p>
    <w:p w:rsidR="004911DF" w:rsidRDefault="004911DF">
      <w:pPr>
        <w:pStyle w:val="NoSpacing"/>
        <w:jc w:val="both"/>
        <w:rPr>
          <w:sz w:val="22"/>
          <w:szCs w:val="22"/>
        </w:rPr>
      </w:pPr>
    </w:p>
    <w:p w:rsidR="004911DF" w:rsidRDefault="003B3254">
      <w:pPr>
        <w:pStyle w:val="NoSpacing"/>
        <w:jc w:val="both"/>
      </w:pPr>
      <w:r>
        <w:t xml:space="preserve">Our respondents </w:t>
      </w:r>
      <w:r>
        <w:t>traced their places of origin to 6 geographical regions: Central Region (3), Greater Accra Region (1), Volta Region (4), Upper East Region (8), Upper West Region (30) and Northern Region (72). From these figures, it is obvious that an overwhelming majority</w:t>
      </w:r>
      <w:r>
        <w:t xml:space="preserve"> of </w:t>
      </w:r>
      <w:r>
        <w:lastRenderedPageBreak/>
        <w:t>the female migrants in these markets (110, constituting 93.3%) originate from the northern part of the country. Figure 2 below illustrates this.</w:t>
      </w:r>
    </w:p>
    <w:p w:rsidR="004911DF" w:rsidRDefault="003B3254">
      <w:pPr>
        <w:pStyle w:val="NoSpacing"/>
        <w:jc w:val="both"/>
      </w:pPr>
      <w:r>
        <w:rPr>
          <w:sz w:val="20"/>
          <w:szCs w:val="20"/>
        </w:rPr>
        <w:t>Figure 2: place of origin among migrants</w:t>
      </w:r>
      <w:r>
        <w:rPr>
          <w:noProof/>
        </w:rPr>
        <w:drawing>
          <wp:anchor distT="152400" distB="152400" distL="152400" distR="152400" simplePos="0" relativeHeight="251659264" behindDoc="0" locked="0" layoutInCell="1" allowOverlap="1">
            <wp:simplePos x="0" y="0"/>
            <wp:positionH relativeFrom="page">
              <wp:posOffset>1043681</wp:posOffset>
            </wp:positionH>
            <wp:positionV relativeFrom="line">
              <wp:posOffset>280511</wp:posOffset>
            </wp:positionV>
            <wp:extent cx="5456436" cy="4365150"/>
            <wp:effectExtent l="0" t="0" r="0" b="0"/>
            <wp:wrapThrough wrapText="bothSides" distL="152400" distR="152400">
              <wp:wrapPolygon edited="1">
                <wp:start x="0" y="0"/>
                <wp:lineTo x="0" y="21600"/>
                <wp:lineTo x="21600" y="21600"/>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8">
                      <a:extLst/>
                    </a:blip>
                    <a:stretch>
                      <a:fillRect/>
                    </a:stretch>
                  </pic:blipFill>
                  <pic:spPr>
                    <a:xfrm>
                      <a:off x="0" y="0"/>
                      <a:ext cx="5456436" cy="4365150"/>
                    </a:xfrm>
                    <a:prstGeom prst="rect">
                      <a:avLst/>
                    </a:prstGeom>
                    <a:ln w="12700" cap="flat">
                      <a:noFill/>
                      <a:miter lim="400000"/>
                    </a:ln>
                    <a:effectLst/>
                  </pic:spPr>
                </pic:pic>
              </a:graphicData>
            </a:graphic>
          </wp:anchor>
        </w:drawing>
      </w:r>
    </w:p>
    <w:p w:rsidR="004911DF" w:rsidRDefault="003B3254">
      <w:pPr>
        <w:pStyle w:val="NoSpacing"/>
        <w:jc w:val="both"/>
      </w:pPr>
      <w:r>
        <w:t>The geographical context from which more than 90 percent of the s</w:t>
      </w:r>
      <w:r>
        <w:t>easonal migrants come affords us insights into the nature and patterns of migration among this category of migrants.  Northern Ghana which has been the major source region of urban Ghana</w:t>
      </w:r>
      <w:r w:rsidRPr="00C155F7">
        <w:rPr>
          <w:rFonts w:hAnsi="Times New Roman"/>
        </w:rPr>
        <w:t>’</w:t>
      </w:r>
      <w:r>
        <w:t xml:space="preserve">s </w:t>
      </w:r>
      <w:r w:rsidRPr="00C155F7">
        <w:t>migrants</w:t>
      </w:r>
      <w:r>
        <w:t>, experiences different climatic conditions compared to the</w:t>
      </w:r>
      <w:r>
        <w:t xml:space="preserve"> regions in the south of the country and those along the coast. In the three regions constituting northern Ghana, farming is the major source of livelihood. However, the annual rainfall season has always been short, covering only between April and August. </w:t>
      </w:r>
      <w:r>
        <w:t>This period is followed by a long dry season, from September to March. During the dry season, most farmers would have harvested their crops and basically will have nothing else to do. Thus, migration becomes one of the options to while away the long dry se</w:t>
      </w:r>
      <w:r>
        <w:t>ason.</w:t>
      </w:r>
    </w:p>
    <w:p w:rsidR="004911DF" w:rsidRDefault="004911DF">
      <w:pPr>
        <w:pStyle w:val="NoSpacing"/>
        <w:jc w:val="both"/>
      </w:pPr>
    </w:p>
    <w:p w:rsidR="004911DF" w:rsidRDefault="003B3254">
      <w:pPr>
        <w:pStyle w:val="NoSpacing"/>
        <w:jc w:val="both"/>
      </w:pPr>
      <w:r>
        <w:t>When we combined the place of origin with other variables such as the time of arrival in Accra (as at the time of the interview), whether this was migrants</w:t>
      </w:r>
      <w:r>
        <w:rPr>
          <w:rFonts w:hAnsi="Times New Roman"/>
        </w:rPr>
        <w:t xml:space="preserve">’ </w:t>
      </w:r>
      <w:r>
        <w:t>first time in Accra, and whether or not migrants had intentions of returning to their places</w:t>
      </w:r>
      <w:r>
        <w:t xml:space="preserve"> of origin, the data revealed three different categories of migrants, namely, seasonal migrants, first time migrants and second generation migrants. In all, 72% of our respondents had lived in Accra for a period between 1 month and 36 months. Of the remain</w:t>
      </w:r>
      <w:r>
        <w:t>ing 28%, only 14.4% may be said to be permanent migrants (staying in Accra for 8 years and above). It is interesting to note that while 35% of the respondents indicated they were first time migrants in Accra at the time of the interview, 63.6% indicated th</w:t>
      </w:r>
      <w:r>
        <w:t xml:space="preserve">at it was not their first time in Accra (there were no responses in two cases). Finally, </w:t>
      </w:r>
      <w:r>
        <w:lastRenderedPageBreak/>
        <w:t>when asked whether they had intentions of returning to their places of origin, an overwhelming 93% of the respondents answered in the affirmative.</w:t>
      </w:r>
    </w:p>
    <w:p w:rsidR="004911DF" w:rsidRDefault="004911DF">
      <w:pPr>
        <w:pStyle w:val="NoSpacing"/>
        <w:jc w:val="both"/>
      </w:pPr>
    </w:p>
    <w:p w:rsidR="004911DF" w:rsidRDefault="003B3254">
      <w:pPr>
        <w:pStyle w:val="NoSpacing"/>
        <w:jc w:val="both"/>
        <w:rPr>
          <w:i/>
          <w:iCs/>
        </w:rPr>
      </w:pPr>
      <w:r>
        <w:rPr>
          <w:i/>
          <w:iCs/>
        </w:rPr>
        <w:t>5.2 Linguistic chal</w:t>
      </w:r>
      <w:r>
        <w:rPr>
          <w:i/>
          <w:iCs/>
        </w:rPr>
        <w:t xml:space="preserve">lenges of </w:t>
      </w:r>
      <w:proofErr w:type="spellStart"/>
      <w:r>
        <w:rPr>
          <w:i/>
          <w:iCs/>
        </w:rPr>
        <w:t>kayaye</w:t>
      </w:r>
      <w:proofErr w:type="spellEnd"/>
      <w:r>
        <w:rPr>
          <w:i/>
          <w:iCs/>
        </w:rPr>
        <w:t xml:space="preserve"> in urban markets Accra</w:t>
      </w:r>
    </w:p>
    <w:p w:rsidR="004911DF" w:rsidRDefault="003B3254">
      <w:pPr>
        <w:pStyle w:val="NoSpacing"/>
        <w:jc w:val="both"/>
      </w:pPr>
      <w:r>
        <w:t xml:space="preserve">      The idea of the existence of possible linguistic challenges, especially among the seasonal and first time migrants became very prominent during the fieldwork for the pilot data collection for this project. As w</w:t>
      </w:r>
      <w:r>
        <w:t>e moved around in the market, we observed that the Twi dialect of Akan was the dominant language in the market. However, as we interacted with the migrants, we observed that with the exception of the second generation migrants who spoke both their first la</w:t>
      </w:r>
      <w:r>
        <w:t>nguage (L1) and a second languages (including Akan) fluently, all the others appeared to have linguistic challenges. Subsequently, during the fieldwork for the main data, we asked respondents directly whether they faced any particular linguistics challenge</w:t>
      </w:r>
      <w:r>
        <w:t xml:space="preserve">s in their line of business. Out of the 118 participants, 63.2% answered in the affirmative while 36.8 said they had no particular linguistic challenges. Of those who had linguistic challenges, only 37.5% said they anticipated some linguistic challenge in </w:t>
      </w:r>
      <w:r>
        <w:t>their host community, 62.5% did not anticipate any such challenges.</w:t>
      </w:r>
    </w:p>
    <w:p w:rsidR="004911DF" w:rsidRDefault="003B3254">
      <w:pPr>
        <w:pStyle w:val="NoSpacing"/>
        <w:jc w:val="both"/>
      </w:pPr>
      <w:r>
        <w:t xml:space="preserve">     As a way of verifying the information provided for this question, we elicited information about the L1s of migrants, any other language(s) they speak, and their preferred language for business in the markets. With regard to Migrants</w:t>
      </w:r>
      <w:r>
        <w:rPr>
          <w:rFonts w:hAnsi="Times New Roman"/>
        </w:rPr>
        <w:t xml:space="preserve">’ </w:t>
      </w:r>
      <w:r>
        <w:t>L1 background, on</w:t>
      </w:r>
      <w:r>
        <w:t xml:space="preserve">ly 3 (2.5%) of the respondents across all three markets indicated a dialect of Akan, </w:t>
      </w:r>
      <w:proofErr w:type="spellStart"/>
      <w:r>
        <w:t>Fante</w:t>
      </w:r>
      <w:proofErr w:type="spellEnd"/>
      <w:r>
        <w:t>, as their L1. The remaining respondents had L1s other than the dominant of the markets. Table 2 and figure 5 below provide the specific L1 distribution of our respon</w:t>
      </w:r>
      <w:r>
        <w:t>dents: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t>Table 2: First Language of Migrants</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rsidR="004911DF" w:rsidRPr="00C155F7" w:rsidRDefault="003B3254">
      <w:pPr>
        <w:pStyle w:val="NoSpacing"/>
        <w:jc w:val="both"/>
        <w:rPr>
          <w:sz w:val="20"/>
          <w:szCs w:val="20"/>
          <w:lang w:val="fr-FR"/>
        </w:rPr>
      </w:pPr>
      <w:proofErr w:type="spellStart"/>
      <w:r w:rsidRPr="00C155F7">
        <w:rPr>
          <w:sz w:val="20"/>
          <w:szCs w:val="20"/>
          <w:lang w:val="fr-FR"/>
        </w:rPr>
        <w:t>Language</w:t>
      </w:r>
      <w:proofErr w:type="spellEnd"/>
      <w:r w:rsidRPr="00C155F7">
        <w:rPr>
          <w:sz w:val="20"/>
          <w:szCs w:val="20"/>
          <w:lang w:val="fr-FR"/>
        </w:rPr>
        <w:tab/>
      </w:r>
      <w:r w:rsidRPr="00C155F7">
        <w:rPr>
          <w:sz w:val="20"/>
          <w:szCs w:val="20"/>
          <w:lang w:val="fr-FR"/>
        </w:rPr>
        <w:tab/>
      </w:r>
      <w:proofErr w:type="spellStart"/>
      <w:r w:rsidRPr="00C155F7">
        <w:rPr>
          <w:sz w:val="20"/>
          <w:szCs w:val="20"/>
          <w:lang w:val="fr-FR"/>
        </w:rPr>
        <w:t>Frequency</w:t>
      </w:r>
      <w:proofErr w:type="spellEnd"/>
      <w:r w:rsidRPr="00C155F7">
        <w:rPr>
          <w:sz w:val="20"/>
          <w:szCs w:val="20"/>
          <w:lang w:val="fr-FR"/>
        </w:rPr>
        <w:tab/>
        <w:t>Percent</w:t>
      </w:r>
      <w:r w:rsidRPr="00C155F7">
        <w:rPr>
          <w:sz w:val="20"/>
          <w:szCs w:val="20"/>
          <w:lang w:val="fr-FR"/>
        </w:rPr>
        <w:tab/>
        <w:t xml:space="preserve">     </w:t>
      </w:r>
      <w:proofErr w:type="spellStart"/>
      <w:r w:rsidRPr="00C155F7">
        <w:rPr>
          <w:sz w:val="20"/>
          <w:szCs w:val="20"/>
          <w:lang w:val="fr-FR"/>
        </w:rPr>
        <w:t>Valid</w:t>
      </w:r>
      <w:proofErr w:type="spellEnd"/>
      <w:r w:rsidRPr="00C155F7">
        <w:rPr>
          <w:sz w:val="20"/>
          <w:szCs w:val="20"/>
          <w:lang w:val="fr-FR"/>
        </w:rPr>
        <w:t xml:space="preserve"> Percent</w:t>
      </w:r>
      <w:r w:rsidRPr="00C155F7">
        <w:rPr>
          <w:sz w:val="20"/>
          <w:szCs w:val="20"/>
          <w:lang w:val="fr-FR"/>
        </w:rPr>
        <w:tab/>
        <w:t>Cumulative Percent</w:t>
      </w:r>
    </w:p>
    <w:p w:rsidR="004911DF" w:rsidRPr="00C155F7" w:rsidRDefault="003B3254">
      <w:pPr>
        <w:pStyle w:val="NoSpacing"/>
        <w:jc w:val="both"/>
        <w:rPr>
          <w:sz w:val="20"/>
          <w:szCs w:val="20"/>
          <w:lang w:val="fr-FR"/>
        </w:rPr>
      </w:pPr>
      <w:proofErr w:type="spellStart"/>
      <w:r w:rsidRPr="00C155F7">
        <w:rPr>
          <w:sz w:val="20"/>
          <w:szCs w:val="20"/>
          <w:lang w:val="fr-FR"/>
        </w:rPr>
        <w:t>Dagbani</w:t>
      </w:r>
      <w:proofErr w:type="spellEnd"/>
      <w:r w:rsidRPr="00C155F7">
        <w:rPr>
          <w:sz w:val="20"/>
          <w:szCs w:val="20"/>
          <w:lang w:val="fr-FR"/>
        </w:rPr>
        <w:t>/</w:t>
      </w:r>
      <w:proofErr w:type="spellStart"/>
      <w:r w:rsidRPr="00C155F7">
        <w:rPr>
          <w:sz w:val="20"/>
          <w:szCs w:val="20"/>
          <w:lang w:val="fr-FR"/>
        </w:rPr>
        <w:t>Mampruli</w:t>
      </w:r>
      <w:proofErr w:type="spellEnd"/>
      <w:r w:rsidRPr="00C155F7">
        <w:rPr>
          <w:sz w:val="20"/>
          <w:szCs w:val="20"/>
          <w:lang w:val="fr-FR"/>
        </w:rPr>
        <w:tab/>
        <w:t xml:space="preserve">  64</w:t>
      </w:r>
      <w:r w:rsidRPr="00C155F7">
        <w:rPr>
          <w:sz w:val="20"/>
          <w:szCs w:val="20"/>
          <w:lang w:val="fr-FR"/>
        </w:rPr>
        <w:tab/>
      </w:r>
      <w:r w:rsidRPr="00C155F7">
        <w:rPr>
          <w:sz w:val="20"/>
          <w:szCs w:val="20"/>
          <w:lang w:val="fr-FR"/>
        </w:rPr>
        <w:tab/>
        <w:t>54.2</w:t>
      </w:r>
      <w:r w:rsidRPr="00C155F7">
        <w:rPr>
          <w:sz w:val="20"/>
          <w:szCs w:val="20"/>
          <w:lang w:val="fr-FR"/>
        </w:rPr>
        <w:tab/>
      </w:r>
      <w:r w:rsidRPr="00C155F7">
        <w:rPr>
          <w:sz w:val="20"/>
          <w:szCs w:val="20"/>
          <w:lang w:val="fr-FR"/>
        </w:rPr>
        <w:tab/>
        <w:t>54.2</w:t>
      </w:r>
      <w:r w:rsidRPr="00C155F7">
        <w:rPr>
          <w:sz w:val="20"/>
          <w:szCs w:val="20"/>
          <w:lang w:val="fr-FR"/>
        </w:rPr>
        <w:tab/>
        <w:t xml:space="preserve"> </w:t>
      </w:r>
      <w:r w:rsidRPr="00C155F7">
        <w:rPr>
          <w:sz w:val="20"/>
          <w:szCs w:val="20"/>
          <w:lang w:val="fr-FR"/>
        </w:rPr>
        <w:tab/>
        <w:t>54.2</w:t>
      </w:r>
    </w:p>
    <w:p w:rsidR="004911DF" w:rsidRPr="00C155F7" w:rsidRDefault="003B3254">
      <w:pPr>
        <w:pStyle w:val="NoSpacing"/>
        <w:jc w:val="both"/>
        <w:rPr>
          <w:sz w:val="20"/>
          <w:szCs w:val="20"/>
          <w:lang w:val="fr-FR"/>
        </w:rPr>
      </w:pPr>
      <w:proofErr w:type="spellStart"/>
      <w:r w:rsidRPr="00C155F7">
        <w:rPr>
          <w:sz w:val="20"/>
          <w:szCs w:val="20"/>
          <w:lang w:val="fr-FR"/>
        </w:rPr>
        <w:t>Sisala</w:t>
      </w:r>
      <w:proofErr w:type="spellEnd"/>
      <w:r w:rsidRPr="00C155F7">
        <w:rPr>
          <w:sz w:val="20"/>
          <w:szCs w:val="20"/>
          <w:lang w:val="fr-FR"/>
        </w:rPr>
        <w:t>/</w:t>
      </w:r>
      <w:proofErr w:type="spellStart"/>
      <w:r w:rsidRPr="00C155F7">
        <w:rPr>
          <w:sz w:val="20"/>
          <w:szCs w:val="20"/>
          <w:lang w:val="fr-FR"/>
        </w:rPr>
        <w:t>Dagaare</w:t>
      </w:r>
      <w:proofErr w:type="spellEnd"/>
      <w:r w:rsidRPr="00C155F7">
        <w:rPr>
          <w:sz w:val="20"/>
          <w:szCs w:val="20"/>
          <w:lang w:val="fr-FR"/>
        </w:rPr>
        <w:tab/>
      </w:r>
      <w:r w:rsidRPr="00C155F7">
        <w:rPr>
          <w:sz w:val="20"/>
          <w:szCs w:val="20"/>
          <w:lang w:val="fr-FR"/>
        </w:rPr>
        <w:tab/>
        <w:t xml:space="preserve">  18    </w:t>
      </w:r>
      <w:r w:rsidRPr="00C155F7">
        <w:rPr>
          <w:sz w:val="20"/>
          <w:szCs w:val="20"/>
          <w:lang w:val="fr-FR"/>
        </w:rPr>
        <w:tab/>
        <w:t xml:space="preserve">  </w:t>
      </w:r>
      <w:r w:rsidRPr="00C155F7">
        <w:rPr>
          <w:sz w:val="20"/>
          <w:szCs w:val="20"/>
          <w:lang w:val="fr-FR"/>
        </w:rPr>
        <w:tab/>
        <w:t>15.3</w:t>
      </w:r>
      <w:r w:rsidRPr="00C155F7">
        <w:rPr>
          <w:sz w:val="20"/>
          <w:szCs w:val="20"/>
          <w:lang w:val="fr-FR"/>
        </w:rPr>
        <w:tab/>
      </w:r>
      <w:r w:rsidRPr="00C155F7">
        <w:rPr>
          <w:sz w:val="20"/>
          <w:szCs w:val="20"/>
          <w:lang w:val="fr-FR"/>
        </w:rPr>
        <w:tab/>
        <w:t>15.3</w:t>
      </w:r>
      <w:r w:rsidRPr="00C155F7">
        <w:rPr>
          <w:sz w:val="20"/>
          <w:szCs w:val="20"/>
          <w:lang w:val="fr-FR"/>
        </w:rPr>
        <w:tab/>
      </w:r>
      <w:r w:rsidRPr="00C155F7">
        <w:rPr>
          <w:sz w:val="20"/>
          <w:szCs w:val="20"/>
          <w:lang w:val="fr-FR"/>
        </w:rPr>
        <w:tab/>
        <w:t>69.5</w:t>
      </w:r>
    </w:p>
    <w:p w:rsidR="004911DF" w:rsidRPr="00C155F7" w:rsidRDefault="003B3254">
      <w:pPr>
        <w:pStyle w:val="NoSpacing"/>
        <w:jc w:val="both"/>
        <w:rPr>
          <w:sz w:val="20"/>
          <w:szCs w:val="20"/>
          <w:lang w:val="fr-FR"/>
        </w:rPr>
      </w:pPr>
      <w:r w:rsidRPr="00C155F7">
        <w:rPr>
          <w:sz w:val="20"/>
          <w:szCs w:val="20"/>
          <w:lang w:val="fr-FR"/>
        </w:rPr>
        <w:t>Hausa</w:t>
      </w:r>
      <w:r w:rsidRPr="00C155F7">
        <w:rPr>
          <w:sz w:val="20"/>
          <w:szCs w:val="20"/>
          <w:lang w:val="fr-FR"/>
        </w:rPr>
        <w:tab/>
      </w:r>
      <w:r w:rsidRPr="00C155F7">
        <w:rPr>
          <w:sz w:val="20"/>
          <w:szCs w:val="20"/>
          <w:lang w:val="fr-FR"/>
        </w:rPr>
        <w:tab/>
      </w:r>
      <w:r w:rsidRPr="00C155F7">
        <w:rPr>
          <w:sz w:val="20"/>
          <w:szCs w:val="20"/>
          <w:lang w:val="fr-FR"/>
        </w:rPr>
        <w:tab/>
        <w:t xml:space="preserve">    2</w:t>
      </w:r>
      <w:r w:rsidRPr="00C155F7">
        <w:rPr>
          <w:sz w:val="20"/>
          <w:szCs w:val="20"/>
          <w:lang w:val="fr-FR"/>
        </w:rPr>
        <w:tab/>
      </w:r>
      <w:r w:rsidRPr="00C155F7">
        <w:rPr>
          <w:sz w:val="20"/>
          <w:szCs w:val="20"/>
          <w:lang w:val="fr-FR"/>
        </w:rPr>
        <w:tab/>
        <w:t>1.7</w:t>
      </w:r>
      <w:r w:rsidRPr="00C155F7">
        <w:rPr>
          <w:sz w:val="20"/>
          <w:szCs w:val="20"/>
          <w:lang w:val="fr-FR"/>
        </w:rPr>
        <w:tab/>
      </w:r>
      <w:r w:rsidRPr="00C155F7">
        <w:rPr>
          <w:sz w:val="20"/>
          <w:szCs w:val="20"/>
          <w:lang w:val="fr-FR"/>
        </w:rPr>
        <w:tab/>
        <w:t>1.7</w:t>
      </w:r>
      <w:r w:rsidRPr="00C155F7">
        <w:rPr>
          <w:sz w:val="20"/>
          <w:szCs w:val="20"/>
          <w:lang w:val="fr-FR"/>
        </w:rPr>
        <w:tab/>
      </w:r>
      <w:r w:rsidRPr="00C155F7">
        <w:rPr>
          <w:sz w:val="20"/>
          <w:szCs w:val="20"/>
          <w:lang w:val="fr-FR"/>
        </w:rPr>
        <w:tab/>
        <w:t>71.2</w:t>
      </w:r>
    </w:p>
    <w:p w:rsidR="004911DF" w:rsidRPr="00C155F7" w:rsidRDefault="003B3254">
      <w:pPr>
        <w:pStyle w:val="NoSpacing"/>
        <w:jc w:val="both"/>
        <w:rPr>
          <w:sz w:val="20"/>
          <w:szCs w:val="20"/>
          <w:lang w:val="fr-FR"/>
        </w:rPr>
      </w:pPr>
      <w:proofErr w:type="spellStart"/>
      <w:r w:rsidRPr="00C155F7">
        <w:rPr>
          <w:sz w:val="20"/>
          <w:szCs w:val="20"/>
          <w:lang w:val="fr-FR"/>
        </w:rPr>
        <w:t>Gonja</w:t>
      </w:r>
      <w:proofErr w:type="spellEnd"/>
      <w:r w:rsidRPr="00C155F7">
        <w:rPr>
          <w:sz w:val="20"/>
          <w:szCs w:val="20"/>
          <w:lang w:val="fr-FR"/>
        </w:rPr>
        <w:tab/>
      </w:r>
      <w:r w:rsidRPr="00C155F7">
        <w:rPr>
          <w:sz w:val="20"/>
          <w:szCs w:val="20"/>
          <w:lang w:val="fr-FR"/>
        </w:rPr>
        <w:tab/>
      </w:r>
      <w:r w:rsidRPr="00C155F7">
        <w:rPr>
          <w:sz w:val="20"/>
          <w:szCs w:val="20"/>
          <w:lang w:val="fr-FR"/>
        </w:rPr>
        <w:tab/>
        <w:t xml:space="preserve">    9</w:t>
      </w:r>
      <w:r w:rsidRPr="00C155F7">
        <w:rPr>
          <w:sz w:val="20"/>
          <w:szCs w:val="20"/>
          <w:lang w:val="fr-FR"/>
        </w:rPr>
        <w:tab/>
      </w:r>
      <w:r w:rsidRPr="00C155F7">
        <w:rPr>
          <w:sz w:val="20"/>
          <w:szCs w:val="20"/>
          <w:lang w:val="fr-FR"/>
        </w:rPr>
        <w:tab/>
        <w:t>7.6</w:t>
      </w:r>
      <w:r w:rsidRPr="00C155F7">
        <w:rPr>
          <w:sz w:val="20"/>
          <w:szCs w:val="20"/>
          <w:lang w:val="fr-FR"/>
        </w:rPr>
        <w:tab/>
      </w:r>
      <w:r w:rsidRPr="00C155F7">
        <w:rPr>
          <w:sz w:val="20"/>
          <w:szCs w:val="20"/>
          <w:lang w:val="fr-FR"/>
        </w:rPr>
        <w:tab/>
        <w:t>7.6</w:t>
      </w:r>
      <w:r w:rsidRPr="00C155F7">
        <w:rPr>
          <w:sz w:val="20"/>
          <w:szCs w:val="20"/>
          <w:lang w:val="fr-FR"/>
        </w:rPr>
        <w:tab/>
      </w:r>
      <w:r w:rsidRPr="00C155F7">
        <w:rPr>
          <w:sz w:val="20"/>
          <w:szCs w:val="20"/>
          <w:lang w:val="fr-FR"/>
        </w:rPr>
        <w:tab/>
      </w:r>
      <w:r w:rsidRPr="00C155F7">
        <w:rPr>
          <w:sz w:val="20"/>
          <w:szCs w:val="20"/>
          <w:lang w:val="fr-FR"/>
        </w:rPr>
        <w:t>78.8</w:t>
      </w:r>
    </w:p>
    <w:p w:rsidR="004911DF" w:rsidRPr="00C155F7" w:rsidRDefault="003B3254">
      <w:pPr>
        <w:pStyle w:val="NoSpacing"/>
        <w:jc w:val="both"/>
        <w:rPr>
          <w:sz w:val="20"/>
          <w:szCs w:val="20"/>
          <w:lang w:val="fr-FR"/>
        </w:rPr>
      </w:pPr>
      <w:proofErr w:type="spellStart"/>
      <w:r w:rsidRPr="00C155F7">
        <w:rPr>
          <w:sz w:val="20"/>
          <w:szCs w:val="20"/>
          <w:lang w:val="fr-FR"/>
        </w:rPr>
        <w:t>Tampulima</w:t>
      </w:r>
      <w:proofErr w:type="spellEnd"/>
      <w:r w:rsidRPr="00C155F7">
        <w:rPr>
          <w:sz w:val="20"/>
          <w:szCs w:val="20"/>
          <w:lang w:val="fr-FR"/>
        </w:rPr>
        <w:tab/>
      </w:r>
      <w:r w:rsidRPr="00C155F7">
        <w:rPr>
          <w:sz w:val="20"/>
          <w:szCs w:val="20"/>
          <w:lang w:val="fr-FR"/>
        </w:rPr>
        <w:tab/>
        <w:t xml:space="preserve"> 10</w:t>
      </w:r>
      <w:r w:rsidRPr="00C155F7">
        <w:rPr>
          <w:sz w:val="20"/>
          <w:szCs w:val="20"/>
          <w:lang w:val="fr-FR"/>
        </w:rPr>
        <w:tab/>
      </w:r>
      <w:r w:rsidRPr="00C155F7">
        <w:rPr>
          <w:sz w:val="20"/>
          <w:szCs w:val="20"/>
          <w:lang w:val="fr-FR"/>
        </w:rPr>
        <w:tab/>
        <w:t>8.5</w:t>
      </w:r>
      <w:r w:rsidRPr="00C155F7">
        <w:rPr>
          <w:sz w:val="20"/>
          <w:szCs w:val="20"/>
          <w:lang w:val="fr-FR"/>
        </w:rPr>
        <w:tab/>
      </w:r>
      <w:r w:rsidRPr="00C155F7">
        <w:rPr>
          <w:sz w:val="20"/>
          <w:szCs w:val="20"/>
          <w:lang w:val="fr-FR"/>
        </w:rPr>
        <w:tab/>
        <w:t>8.5</w:t>
      </w:r>
      <w:r w:rsidRPr="00C155F7">
        <w:rPr>
          <w:sz w:val="20"/>
          <w:szCs w:val="20"/>
          <w:lang w:val="fr-FR"/>
        </w:rPr>
        <w:tab/>
      </w:r>
      <w:r w:rsidRPr="00C155F7">
        <w:rPr>
          <w:sz w:val="20"/>
          <w:szCs w:val="20"/>
          <w:lang w:val="fr-FR"/>
        </w:rPr>
        <w:tab/>
        <w:t>87.3</w:t>
      </w:r>
    </w:p>
    <w:p w:rsidR="004911DF" w:rsidRPr="00C155F7" w:rsidRDefault="003B3254">
      <w:pPr>
        <w:pStyle w:val="NoSpacing"/>
        <w:jc w:val="both"/>
        <w:rPr>
          <w:sz w:val="20"/>
          <w:szCs w:val="20"/>
          <w:lang w:val="fr-FR"/>
        </w:rPr>
      </w:pPr>
      <w:proofErr w:type="spellStart"/>
      <w:r w:rsidRPr="00C155F7">
        <w:rPr>
          <w:sz w:val="20"/>
          <w:szCs w:val="20"/>
          <w:lang w:val="fr-FR"/>
        </w:rPr>
        <w:t>Frafra</w:t>
      </w:r>
      <w:proofErr w:type="spellEnd"/>
      <w:r w:rsidRPr="00C155F7">
        <w:rPr>
          <w:sz w:val="20"/>
          <w:szCs w:val="20"/>
          <w:lang w:val="fr-FR"/>
        </w:rPr>
        <w:t>/</w:t>
      </w:r>
      <w:proofErr w:type="spellStart"/>
      <w:r w:rsidRPr="00C155F7">
        <w:rPr>
          <w:sz w:val="20"/>
          <w:szCs w:val="20"/>
          <w:lang w:val="fr-FR"/>
        </w:rPr>
        <w:t>Dagaati</w:t>
      </w:r>
      <w:proofErr w:type="spellEnd"/>
      <w:r w:rsidRPr="00C155F7">
        <w:rPr>
          <w:sz w:val="20"/>
          <w:szCs w:val="20"/>
          <w:lang w:val="fr-FR"/>
        </w:rPr>
        <w:tab/>
      </w:r>
      <w:r w:rsidRPr="00C155F7">
        <w:rPr>
          <w:sz w:val="20"/>
          <w:szCs w:val="20"/>
          <w:lang w:val="fr-FR"/>
        </w:rPr>
        <w:tab/>
        <w:t xml:space="preserve">   3</w:t>
      </w:r>
      <w:r w:rsidRPr="00C155F7">
        <w:rPr>
          <w:sz w:val="20"/>
          <w:szCs w:val="20"/>
          <w:lang w:val="fr-FR"/>
        </w:rPr>
        <w:tab/>
      </w:r>
      <w:r w:rsidRPr="00C155F7">
        <w:rPr>
          <w:sz w:val="20"/>
          <w:szCs w:val="20"/>
          <w:lang w:val="fr-FR"/>
        </w:rPr>
        <w:tab/>
        <w:t>2.5</w:t>
      </w:r>
      <w:r w:rsidRPr="00C155F7">
        <w:rPr>
          <w:sz w:val="20"/>
          <w:szCs w:val="20"/>
          <w:lang w:val="fr-FR"/>
        </w:rPr>
        <w:tab/>
      </w:r>
      <w:r w:rsidRPr="00C155F7">
        <w:rPr>
          <w:sz w:val="20"/>
          <w:szCs w:val="20"/>
          <w:lang w:val="fr-FR"/>
        </w:rPr>
        <w:tab/>
        <w:t>2.5</w:t>
      </w:r>
      <w:r w:rsidRPr="00C155F7">
        <w:rPr>
          <w:sz w:val="20"/>
          <w:szCs w:val="20"/>
          <w:lang w:val="fr-FR"/>
        </w:rPr>
        <w:tab/>
      </w:r>
      <w:r w:rsidRPr="00C155F7">
        <w:rPr>
          <w:sz w:val="20"/>
          <w:szCs w:val="20"/>
          <w:lang w:val="fr-FR"/>
        </w:rPr>
        <w:tab/>
        <w:t>89.8</w:t>
      </w:r>
    </w:p>
    <w:p w:rsidR="004911DF" w:rsidRDefault="003B3254">
      <w:pPr>
        <w:pStyle w:val="NoSpacing"/>
        <w:jc w:val="both"/>
        <w:rPr>
          <w:sz w:val="20"/>
          <w:szCs w:val="20"/>
        </w:rPr>
      </w:pPr>
      <w:r>
        <w:rPr>
          <w:sz w:val="20"/>
          <w:szCs w:val="20"/>
        </w:rPr>
        <w:t>Wale</w:t>
      </w:r>
      <w:r>
        <w:rPr>
          <w:sz w:val="20"/>
          <w:szCs w:val="20"/>
        </w:rPr>
        <w:tab/>
      </w:r>
      <w:r>
        <w:rPr>
          <w:sz w:val="20"/>
          <w:szCs w:val="20"/>
        </w:rPr>
        <w:tab/>
      </w:r>
      <w:r>
        <w:rPr>
          <w:sz w:val="20"/>
          <w:szCs w:val="20"/>
        </w:rPr>
        <w:tab/>
        <w:t xml:space="preserve">   4</w:t>
      </w:r>
      <w:r>
        <w:rPr>
          <w:sz w:val="20"/>
          <w:szCs w:val="20"/>
        </w:rPr>
        <w:tab/>
      </w:r>
      <w:r>
        <w:rPr>
          <w:sz w:val="20"/>
          <w:szCs w:val="20"/>
        </w:rPr>
        <w:tab/>
        <w:t>3.4</w:t>
      </w:r>
      <w:r>
        <w:rPr>
          <w:sz w:val="20"/>
          <w:szCs w:val="20"/>
        </w:rPr>
        <w:tab/>
      </w:r>
      <w:r>
        <w:rPr>
          <w:sz w:val="20"/>
          <w:szCs w:val="20"/>
        </w:rPr>
        <w:tab/>
        <w:t>3.4</w:t>
      </w:r>
      <w:r>
        <w:rPr>
          <w:sz w:val="20"/>
          <w:szCs w:val="20"/>
        </w:rPr>
        <w:tab/>
      </w:r>
      <w:r>
        <w:rPr>
          <w:sz w:val="20"/>
          <w:szCs w:val="20"/>
        </w:rPr>
        <w:tab/>
        <w:t>93.2</w:t>
      </w:r>
    </w:p>
    <w:p w:rsidR="004911DF" w:rsidRDefault="003B3254">
      <w:pPr>
        <w:pStyle w:val="NoSpacing"/>
        <w:jc w:val="both"/>
        <w:rPr>
          <w:sz w:val="20"/>
          <w:szCs w:val="20"/>
        </w:rPr>
      </w:pPr>
      <w:proofErr w:type="spellStart"/>
      <w:r>
        <w:rPr>
          <w:sz w:val="20"/>
          <w:szCs w:val="20"/>
        </w:rPr>
        <w:t>Kasena</w:t>
      </w:r>
      <w:proofErr w:type="spellEnd"/>
      <w:r>
        <w:rPr>
          <w:sz w:val="20"/>
          <w:szCs w:val="20"/>
        </w:rPr>
        <w:tab/>
        <w:t xml:space="preserve"> </w:t>
      </w:r>
      <w:r>
        <w:rPr>
          <w:sz w:val="20"/>
          <w:szCs w:val="20"/>
        </w:rPr>
        <w:tab/>
      </w:r>
      <w:r>
        <w:rPr>
          <w:sz w:val="20"/>
          <w:szCs w:val="20"/>
        </w:rPr>
        <w:tab/>
        <w:t xml:space="preserve">   1</w:t>
      </w:r>
      <w:r>
        <w:rPr>
          <w:sz w:val="20"/>
          <w:szCs w:val="20"/>
        </w:rPr>
        <w:tab/>
      </w:r>
      <w:r>
        <w:rPr>
          <w:sz w:val="20"/>
          <w:szCs w:val="20"/>
        </w:rPr>
        <w:tab/>
        <w:t xml:space="preserve">  .8</w:t>
      </w:r>
      <w:r>
        <w:rPr>
          <w:sz w:val="20"/>
          <w:szCs w:val="20"/>
        </w:rPr>
        <w:tab/>
      </w:r>
      <w:r>
        <w:rPr>
          <w:sz w:val="20"/>
          <w:szCs w:val="20"/>
        </w:rPr>
        <w:tab/>
        <w:t xml:space="preserve">  .8</w:t>
      </w:r>
      <w:r>
        <w:rPr>
          <w:sz w:val="20"/>
          <w:szCs w:val="20"/>
        </w:rPr>
        <w:tab/>
      </w:r>
      <w:r>
        <w:rPr>
          <w:sz w:val="20"/>
          <w:szCs w:val="20"/>
        </w:rPr>
        <w:tab/>
        <w:t>94.1</w:t>
      </w:r>
    </w:p>
    <w:p w:rsidR="004911DF" w:rsidRDefault="003B3254">
      <w:pPr>
        <w:pStyle w:val="NoSpacing"/>
        <w:jc w:val="both"/>
        <w:rPr>
          <w:sz w:val="20"/>
          <w:szCs w:val="20"/>
        </w:rPr>
      </w:pPr>
      <w:r>
        <w:rPr>
          <w:sz w:val="20"/>
          <w:szCs w:val="20"/>
        </w:rPr>
        <w:t>Ewe</w:t>
      </w:r>
      <w:r>
        <w:rPr>
          <w:sz w:val="20"/>
          <w:szCs w:val="20"/>
        </w:rPr>
        <w:tab/>
      </w:r>
      <w:r>
        <w:rPr>
          <w:sz w:val="20"/>
          <w:szCs w:val="20"/>
        </w:rPr>
        <w:tab/>
      </w:r>
      <w:r>
        <w:rPr>
          <w:sz w:val="20"/>
          <w:szCs w:val="20"/>
        </w:rPr>
        <w:tab/>
        <w:t xml:space="preserve">   2</w:t>
      </w:r>
      <w:r>
        <w:rPr>
          <w:sz w:val="20"/>
          <w:szCs w:val="20"/>
        </w:rPr>
        <w:tab/>
      </w:r>
      <w:r>
        <w:rPr>
          <w:sz w:val="20"/>
          <w:szCs w:val="20"/>
        </w:rPr>
        <w:tab/>
        <w:t>1.7</w:t>
      </w:r>
      <w:r>
        <w:rPr>
          <w:sz w:val="20"/>
          <w:szCs w:val="20"/>
        </w:rPr>
        <w:tab/>
      </w:r>
      <w:r>
        <w:rPr>
          <w:sz w:val="20"/>
          <w:szCs w:val="20"/>
        </w:rPr>
        <w:tab/>
        <w:t>1.7</w:t>
      </w:r>
      <w:r>
        <w:rPr>
          <w:sz w:val="20"/>
          <w:szCs w:val="20"/>
        </w:rPr>
        <w:tab/>
      </w:r>
      <w:r>
        <w:rPr>
          <w:sz w:val="20"/>
          <w:szCs w:val="20"/>
        </w:rPr>
        <w:tab/>
        <w:t>95.8</w:t>
      </w:r>
    </w:p>
    <w:p w:rsidR="004911DF" w:rsidRDefault="003B3254">
      <w:pPr>
        <w:pStyle w:val="NoSpacing"/>
        <w:jc w:val="both"/>
        <w:rPr>
          <w:sz w:val="20"/>
          <w:szCs w:val="20"/>
        </w:rPr>
      </w:pPr>
      <w:r>
        <w:rPr>
          <w:sz w:val="20"/>
          <w:szCs w:val="20"/>
        </w:rPr>
        <w:t>Ga</w:t>
      </w:r>
      <w:r>
        <w:rPr>
          <w:sz w:val="20"/>
          <w:szCs w:val="20"/>
        </w:rPr>
        <w:tab/>
      </w:r>
      <w:r>
        <w:rPr>
          <w:sz w:val="20"/>
          <w:szCs w:val="20"/>
        </w:rPr>
        <w:tab/>
        <w:t xml:space="preserve">           </w:t>
      </w:r>
      <w:r>
        <w:rPr>
          <w:sz w:val="20"/>
          <w:szCs w:val="20"/>
        </w:rPr>
        <w:tab/>
        <w:t xml:space="preserve">   2</w:t>
      </w:r>
      <w:r>
        <w:rPr>
          <w:sz w:val="20"/>
          <w:szCs w:val="20"/>
        </w:rPr>
        <w:tab/>
      </w:r>
      <w:r>
        <w:rPr>
          <w:sz w:val="20"/>
          <w:szCs w:val="20"/>
        </w:rPr>
        <w:tab/>
        <w:t>1.7</w:t>
      </w:r>
      <w:r>
        <w:rPr>
          <w:sz w:val="20"/>
          <w:szCs w:val="20"/>
        </w:rPr>
        <w:tab/>
      </w:r>
      <w:r>
        <w:rPr>
          <w:sz w:val="20"/>
          <w:szCs w:val="20"/>
        </w:rPr>
        <w:tab/>
        <w:t>1.7</w:t>
      </w:r>
      <w:r>
        <w:rPr>
          <w:sz w:val="20"/>
          <w:szCs w:val="20"/>
        </w:rPr>
        <w:tab/>
      </w:r>
      <w:r>
        <w:rPr>
          <w:sz w:val="20"/>
          <w:szCs w:val="20"/>
        </w:rPr>
        <w:tab/>
        <w:t>97.5</w:t>
      </w:r>
    </w:p>
    <w:p w:rsidR="004911DF" w:rsidRDefault="003B3254">
      <w:pPr>
        <w:pStyle w:val="NoSpacing"/>
        <w:jc w:val="both"/>
        <w:rPr>
          <w:sz w:val="20"/>
          <w:szCs w:val="20"/>
        </w:rPr>
      </w:pPr>
      <w:proofErr w:type="spellStart"/>
      <w:r>
        <w:rPr>
          <w:sz w:val="20"/>
          <w:szCs w:val="20"/>
        </w:rPr>
        <w:t>Fante</w:t>
      </w:r>
      <w:proofErr w:type="spellEnd"/>
      <w:r>
        <w:rPr>
          <w:sz w:val="20"/>
          <w:szCs w:val="20"/>
        </w:rPr>
        <w:tab/>
      </w:r>
      <w:r>
        <w:rPr>
          <w:sz w:val="20"/>
          <w:szCs w:val="20"/>
        </w:rPr>
        <w:tab/>
      </w:r>
      <w:r>
        <w:rPr>
          <w:sz w:val="20"/>
          <w:szCs w:val="20"/>
        </w:rPr>
        <w:tab/>
        <w:t xml:space="preserve">   3</w:t>
      </w:r>
      <w:r>
        <w:rPr>
          <w:sz w:val="20"/>
          <w:szCs w:val="20"/>
        </w:rPr>
        <w:tab/>
      </w:r>
      <w:r>
        <w:rPr>
          <w:sz w:val="20"/>
          <w:szCs w:val="20"/>
        </w:rPr>
        <w:tab/>
        <w:t>2.5</w:t>
      </w:r>
      <w:r>
        <w:rPr>
          <w:sz w:val="20"/>
          <w:szCs w:val="20"/>
        </w:rPr>
        <w:tab/>
      </w:r>
      <w:r>
        <w:rPr>
          <w:sz w:val="20"/>
          <w:szCs w:val="20"/>
        </w:rPr>
        <w:tab/>
        <w:t>2.5</w:t>
      </w:r>
      <w:r>
        <w:rPr>
          <w:sz w:val="20"/>
          <w:szCs w:val="20"/>
        </w:rPr>
        <w:tab/>
      </w:r>
      <w:r>
        <w:rPr>
          <w:sz w:val="20"/>
          <w:szCs w:val="20"/>
        </w:rPr>
        <w:tab/>
        <w:t>100.0</w:t>
      </w:r>
    </w:p>
    <w:p w:rsidR="004911DF" w:rsidRDefault="003B3254">
      <w:pPr>
        <w:pStyle w:val="NoSpacing"/>
        <w:jc w:val="both"/>
        <w:rPr>
          <w:sz w:val="20"/>
          <w:szCs w:val="20"/>
        </w:rPr>
      </w:pPr>
      <w:r>
        <w:rPr>
          <w:sz w:val="20"/>
          <w:szCs w:val="20"/>
        </w:rPr>
        <w:t>Total</w:t>
      </w:r>
      <w:r>
        <w:rPr>
          <w:sz w:val="20"/>
          <w:szCs w:val="20"/>
        </w:rPr>
        <w:tab/>
      </w:r>
      <w:r>
        <w:rPr>
          <w:sz w:val="20"/>
          <w:szCs w:val="20"/>
        </w:rPr>
        <w:tab/>
      </w:r>
      <w:r>
        <w:rPr>
          <w:sz w:val="20"/>
          <w:szCs w:val="20"/>
        </w:rPr>
        <w:tab/>
        <w:t>118</w:t>
      </w:r>
      <w:r>
        <w:rPr>
          <w:sz w:val="20"/>
          <w:szCs w:val="20"/>
        </w:rPr>
        <w:tab/>
      </w:r>
      <w:r>
        <w:rPr>
          <w:sz w:val="20"/>
          <w:szCs w:val="20"/>
        </w:rPr>
        <w:tab/>
        <w:t>100.0</w:t>
      </w:r>
      <w:r>
        <w:rPr>
          <w:sz w:val="20"/>
          <w:szCs w:val="20"/>
        </w:rPr>
        <w:tab/>
      </w:r>
      <w:r>
        <w:rPr>
          <w:sz w:val="20"/>
          <w:szCs w:val="20"/>
        </w:rPr>
        <w:tab/>
        <w:t>100.0</w:t>
      </w:r>
      <w:r>
        <w:rPr>
          <w:sz w:val="20"/>
          <w:szCs w:val="20"/>
        </w:rPr>
        <w:tab/>
      </w:r>
    </w:p>
    <w:p w:rsidR="004911DF" w:rsidRDefault="004911DF">
      <w:pPr>
        <w:pStyle w:val="NoSpacing"/>
        <w:jc w:val="both"/>
        <w:rPr>
          <w:sz w:val="20"/>
          <w:szCs w:val="20"/>
        </w:rPr>
      </w:pPr>
    </w:p>
    <w:p w:rsidR="004911DF" w:rsidRDefault="004911DF">
      <w:pPr>
        <w:pStyle w:val="NoSpacing"/>
        <w:jc w:val="both"/>
        <w:rPr>
          <w:sz w:val="20"/>
          <w:szCs w:val="20"/>
        </w:rPr>
      </w:pPr>
    </w:p>
    <w:p w:rsidR="004911DF" w:rsidRDefault="003B3254">
      <w:pPr>
        <w:pStyle w:val="NoSpacing"/>
        <w:jc w:val="both"/>
      </w:pPr>
      <w:r>
        <w:rPr>
          <w:noProof/>
        </w:rPr>
        <w:lastRenderedPageBreak/>
        <w:drawing>
          <wp:anchor distT="152400" distB="152400" distL="152400" distR="152400" simplePos="0" relativeHeight="251660288" behindDoc="0" locked="0" layoutInCell="1" allowOverlap="1">
            <wp:simplePos x="0" y="0"/>
            <wp:positionH relativeFrom="page">
              <wp:posOffset>908050</wp:posOffset>
            </wp:positionH>
            <wp:positionV relativeFrom="line">
              <wp:posOffset>292100</wp:posOffset>
            </wp:positionV>
            <wp:extent cx="5727700" cy="4589446"/>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9">
                      <a:extLst/>
                    </a:blip>
                    <a:stretch>
                      <a:fillRect/>
                    </a:stretch>
                  </pic:blipFill>
                  <pic:spPr>
                    <a:xfrm>
                      <a:off x="0" y="0"/>
                      <a:ext cx="5727700" cy="4589446"/>
                    </a:xfrm>
                    <a:prstGeom prst="rect">
                      <a:avLst/>
                    </a:prstGeom>
                    <a:ln w="12700" cap="flat">
                      <a:noFill/>
                      <a:miter lim="400000"/>
                    </a:ln>
                    <a:effectLst/>
                  </pic:spPr>
                </pic:pic>
              </a:graphicData>
            </a:graphic>
          </wp:anchor>
        </w:drawing>
      </w: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Figure 3: L1 distribution among </w:t>
      </w:r>
      <w:proofErr w:type="spellStart"/>
      <w:r>
        <w:rPr>
          <w:rFonts w:ascii="Times New Roman Bold"/>
          <w:sz w:val="20"/>
          <w:szCs w:val="20"/>
        </w:rPr>
        <w:t>Kayaye</w:t>
      </w:r>
      <w:proofErr w:type="spellEnd"/>
      <w:r>
        <w:rPr>
          <w:rFonts w:ascii="Times New Roman Bold"/>
          <w:sz w:val="20"/>
          <w:szCs w:val="20"/>
        </w:rPr>
        <w:t xml:space="preserve"> in urban markets in Accra.</w:t>
      </w:r>
    </w:p>
    <w:p w:rsidR="004911DF" w:rsidRDefault="004911DF">
      <w:pPr>
        <w:pStyle w:val="NoSpacing"/>
        <w:jc w:val="both"/>
        <w:rPr>
          <w:rFonts w:ascii="Times New Roman Bold" w:eastAsia="Times New Roman Bold" w:hAnsi="Times New Roman Bold" w:cs="Times New Roman Bold"/>
          <w:sz w:val="20"/>
          <w:szCs w:val="20"/>
        </w:rPr>
      </w:pPr>
    </w:p>
    <w:p w:rsidR="004911DF" w:rsidRDefault="003B3254">
      <w:pPr>
        <w:pStyle w:val="NoSpacing"/>
        <w:jc w:val="both"/>
      </w:pPr>
      <w:r>
        <w:t xml:space="preserve">Given the diversity of L1 backgrounds among the migrants, we may speculate that, one, not all of them get to do business in their L1, and two, at least, some of them are bilinguals. The </w:t>
      </w:r>
      <w:r>
        <w:t>data revealed that 83% of our respondents spoke a language other than their L1. Akan (Twi) was the dominant language spoken (77.1%) as L2 among the respondents. Table 3 bellows summaries migrants</w:t>
      </w:r>
      <w:r>
        <w:rPr>
          <w:rFonts w:hAnsi="Times New Roman"/>
        </w:rPr>
        <w:t xml:space="preserve">’ </w:t>
      </w:r>
      <w:r>
        <w:t>responses to the question of additional language(s).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sz w:val="20"/>
          <w:szCs w:val="20"/>
        </w:rPr>
        <w:t>Table</w:t>
      </w:r>
      <w:r>
        <w:rPr>
          <w:rFonts w:ascii="Times New Roman Bold"/>
          <w:sz w:val="20"/>
          <w:szCs w:val="20"/>
        </w:rPr>
        <w:t xml:space="preserve"> 3: Other languages spoken by migrants</w:t>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p>
    <w:p w:rsidR="004911DF" w:rsidRDefault="003B3254">
      <w:pPr>
        <w:pStyle w:val="NoSpacing"/>
        <w:jc w:val="both"/>
        <w:rPr>
          <w:sz w:val="20"/>
          <w:szCs w:val="20"/>
        </w:rPr>
      </w:pPr>
      <w:r>
        <w:tab/>
      </w:r>
      <w:r>
        <w:tab/>
      </w:r>
      <w:r>
        <w:rPr>
          <w:sz w:val="20"/>
          <w:szCs w:val="20"/>
        </w:rPr>
        <w:t>Language</w:t>
      </w:r>
      <w:r>
        <w:rPr>
          <w:sz w:val="20"/>
          <w:szCs w:val="20"/>
        </w:rPr>
        <w:tab/>
        <w:t>Frequency</w:t>
      </w:r>
      <w:r>
        <w:rPr>
          <w:sz w:val="20"/>
          <w:szCs w:val="20"/>
        </w:rPr>
        <w:tab/>
        <w:t>Percent</w:t>
      </w:r>
      <w:r>
        <w:rPr>
          <w:sz w:val="20"/>
          <w:szCs w:val="20"/>
        </w:rPr>
        <w:tab/>
        <w:t xml:space="preserve">  Valid Percent</w:t>
      </w:r>
      <w:r>
        <w:rPr>
          <w:sz w:val="20"/>
          <w:szCs w:val="20"/>
        </w:rPr>
        <w:tab/>
        <w:t xml:space="preserve">    Cumulative Percent</w:t>
      </w:r>
    </w:p>
    <w:p w:rsidR="004911DF" w:rsidRDefault="003B3254">
      <w:pPr>
        <w:pStyle w:val="NoSpacing"/>
        <w:jc w:val="both"/>
        <w:rPr>
          <w:sz w:val="20"/>
          <w:szCs w:val="20"/>
        </w:rPr>
      </w:pPr>
      <w:r>
        <w:rPr>
          <w:sz w:val="20"/>
          <w:szCs w:val="20"/>
        </w:rPr>
        <w:tab/>
      </w:r>
      <w:r>
        <w:rPr>
          <w:sz w:val="20"/>
          <w:szCs w:val="20"/>
        </w:rPr>
        <w:tab/>
        <w:t>Twi</w:t>
      </w:r>
      <w:r>
        <w:rPr>
          <w:sz w:val="20"/>
          <w:szCs w:val="20"/>
        </w:rPr>
        <w:tab/>
      </w:r>
      <w:r>
        <w:rPr>
          <w:sz w:val="20"/>
          <w:szCs w:val="20"/>
        </w:rPr>
        <w:tab/>
        <w:t>91</w:t>
      </w:r>
      <w:r>
        <w:rPr>
          <w:sz w:val="20"/>
          <w:szCs w:val="20"/>
        </w:rPr>
        <w:tab/>
      </w:r>
      <w:r>
        <w:rPr>
          <w:sz w:val="20"/>
          <w:szCs w:val="20"/>
        </w:rPr>
        <w:tab/>
        <w:t>77.1</w:t>
      </w:r>
      <w:r>
        <w:rPr>
          <w:sz w:val="20"/>
          <w:szCs w:val="20"/>
        </w:rPr>
        <w:tab/>
      </w:r>
      <w:r>
        <w:rPr>
          <w:sz w:val="20"/>
          <w:szCs w:val="20"/>
        </w:rPr>
        <w:tab/>
        <w:t>79.8</w:t>
      </w:r>
      <w:r>
        <w:rPr>
          <w:sz w:val="20"/>
          <w:szCs w:val="20"/>
        </w:rPr>
        <w:tab/>
      </w:r>
      <w:r>
        <w:rPr>
          <w:sz w:val="20"/>
          <w:szCs w:val="20"/>
        </w:rPr>
        <w:tab/>
        <w:t>79.8</w:t>
      </w:r>
    </w:p>
    <w:p w:rsidR="004911DF" w:rsidRDefault="003B3254">
      <w:pPr>
        <w:pStyle w:val="NoSpacing"/>
        <w:jc w:val="both"/>
        <w:rPr>
          <w:sz w:val="20"/>
          <w:szCs w:val="20"/>
        </w:rPr>
      </w:pPr>
      <w:r>
        <w:rPr>
          <w:sz w:val="20"/>
          <w:szCs w:val="20"/>
        </w:rPr>
        <w:tab/>
      </w:r>
      <w:r>
        <w:rPr>
          <w:sz w:val="20"/>
          <w:szCs w:val="20"/>
        </w:rPr>
        <w:tab/>
        <w:t>English</w:t>
      </w:r>
      <w:r>
        <w:rPr>
          <w:sz w:val="20"/>
          <w:szCs w:val="20"/>
        </w:rPr>
        <w:tab/>
      </w:r>
      <w:r>
        <w:rPr>
          <w:sz w:val="20"/>
          <w:szCs w:val="20"/>
        </w:rPr>
        <w:tab/>
        <w:t>4</w:t>
      </w:r>
      <w:r>
        <w:rPr>
          <w:sz w:val="20"/>
          <w:szCs w:val="20"/>
        </w:rPr>
        <w:tab/>
      </w:r>
      <w:r>
        <w:rPr>
          <w:sz w:val="20"/>
          <w:szCs w:val="20"/>
        </w:rPr>
        <w:tab/>
        <w:t>3.4</w:t>
      </w:r>
      <w:r>
        <w:rPr>
          <w:sz w:val="20"/>
          <w:szCs w:val="20"/>
        </w:rPr>
        <w:tab/>
      </w:r>
      <w:r>
        <w:rPr>
          <w:sz w:val="20"/>
          <w:szCs w:val="20"/>
        </w:rPr>
        <w:tab/>
        <w:t>3.5</w:t>
      </w:r>
      <w:r>
        <w:rPr>
          <w:sz w:val="20"/>
          <w:szCs w:val="20"/>
        </w:rPr>
        <w:tab/>
      </w:r>
      <w:r>
        <w:rPr>
          <w:sz w:val="20"/>
          <w:szCs w:val="20"/>
        </w:rPr>
        <w:tab/>
        <w:t>83.3</w:t>
      </w:r>
    </w:p>
    <w:p w:rsidR="004911DF" w:rsidRDefault="003B3254">
      <w:pPr>
        <w:pStyle w:val="NoSpacing"/>
        <w:jc w:val="both"/>
        <w:rPr>
          <w:sz w:val="20"/>
          <w:szCs w:val="20"/>
        </w:rPr>
      </w:pPr>
      <w:r>
        <w:rPr>
          <w:sz w:val="20"/>
          <w:szCs w:val="20"/>
        </w:rPr>
        <w:tab/>
      </w:r>
      <w:r>
        <w:rPr>
          <w:sz w:val="20"/>
          <w:szCs w:val="20"/>
        </w:rPr>
        <w:tab/>
        <w:t>None</w:t>
      </w:r>
      <w:r>
        <w:rPr>
          <w:sz w:val="20"/>
          <w:szCs w:val="20"/>
        </w:rPr>
        <w:tab/>
      </w:r>
      <w:r>
        <w:rPr>
          <w:sz w:val="20"/>
          <w:szCs w:val="20"/>
        </w:rPr>
        <w:tab/>
        <w:t>16</w:t>
      </w:r>
      <w:r>
        <w:rPr>
          <w:sz w:val="20"/>
          <w:szCs w:val="20"/>
        </w:rPr>
        <w:tab/>
      </w:r>
      <w:r>
        <w:rPr>
          <w:sz w:val="20"/>
          <w:szCs w:val="20"/>
        </w:rPr>
        <w:tab/>
        <w:t>13.6</w:t>
      </w:r>
      <w:r>
        <w:rPr>
          <w:sz w:val="20"/>
          <w:szCs w:val="20"/>
        </w:rPr>
        <w:tab/>
      </w:r>
      <w:r>
        <w:rPr>
          <w:sz w:val="20"/>
          <w:szCs w:val="20"/>
        </w:rPr>
        <w:tab/>
        <w:t>14.0</w:t>
      </w:r>
      <w:r>
        <w:rPr>
          <w:sz w:val="20"/>
          <w:szCs w:val="20"/>
        </w:rPr>
        <w:tab/>
      </w:r>
      <w:r>
        <w:rPr>
          <w:sz w:val="20"/>
          <w:szCs w:val="20"/>
        </w:rPr>
        <w:tab/>
        <w:t>97.4</w:t>
      </w:r>
    </w:p>
    <w:p w:rsidR="004911DF" w:rsidRDefault="003B3254">
      <w:pPr>
        <w:pStyle w:val="NoSpacing"/>
        <w:jc w:val="both"/>
        <w:rPr>
          <w:sz w:val="20"/>
          <w:szCs w:val="20"/>
        </w:rPr>
      </w:pPr>
      <w:r>
        <w:rPr>
          <w:sz w:val="20"/>
          <w:szCs w:val="20"/>
        </w:rPr>
        <w:tab/>
      </w:r>
      <w:r>
        <w:rPr>
          <w:sz w:val="20"/>
          <w:szCs w:val="20"/>
        </w:rPr>
        <w:tab/>
      </w:r>
      <w:proofErr w:type="spellStart"/>
      <w:r>
        <w:rPr>
          <w:sz w:val="20"/>
          <w:szCs w:val="20"/>
        </w:rPr>
        <w:t>Tampulima</w:t>
      </w:r>
      <w:proofErr w:type="spellEnd"/>
      <w:r>
        <w:rPr>
          <w:sz w:val="20"/>
          <w:szCs w:val="20"/>
        </w:rPr>
        <w:tab/>
        <w:t>2</w:t>
      </w:r>
      <w:r>
        <w:rPr>
          <w:sz w:val="20"/>
          <w:szCs w:val="20"/>
        </w:rPr>
        <w:tab/>
      </w:r>
      <w:r>
        <w:rPr>
          <w:sz w:val="20"/>
          <w:szCs w:val="20"/>
        </w:rPr>
        <w:tab/>
        <w:t>1.7</w:t>
      </w:r>
      <w:r>
        <w:rPr>
          <w:sz w:val="20"/>
          <w:szCs w:val="20"/>
        </w:rPr>
        <w:tab/>
      </w:r>
      <w:r>
        <w:rPr>
          <w:sz w:val="20"/>
          <w:szCs w:val="20"/>
        </w:rPr>
        <w:tab/>
        <w:t>1.8</w:t>
      </w:r>
      <w:r>
        <w:rPr>
          <w:sz w:val="20"/>
          <w:szCs w:val="20"/>
        </w:rPr>
        <w:tab/>
      </w:r>
      <w:r>
        <w:rPr>
          <w:sz w:val="20"/>
          <w:szCs w:val="20"/>
        </w:rPr>
        <w:tab/>
        <w:t>99.1</w:t>
      </w:r>
    </w:p>
    <w:p w:rsidR="004911DF" w:rsidRDefault="003B3254">
      <w:pPr>
        <w:pStyle w:val="NoSpacing"/>
        <w:jc w:val="both"/>
        <w:rPr>
          <w:sz w:val="20"/>
          <w:szCs w:val="20"/>
        </w:rPr>
      </w:pPr>
      <w:r>
        <w:rPr>
          <w:sz w:val="20"/>
          <w:szCs w:val="20"/>
        </w:rPr>
        <w:tab/>
      </w:r>
      <w:r>
        <w:rPr>
          <w:sz w:val="20"/>
          <w:szCs w:val="20"/>
        </w:rPr>
        <w:tab/>
      </w:r>
      <w:proofErr w:type="spellStart"/>
      <w:r>
        <w:rPr>
          <w:sz w:val="20"/>
          <w:szCs w:val="20"/>
        </w:rPr>
        <w:t>Gonja</w:t>
      </w:r>
      <w:proofErr w:type="spellEnd"/>
      <w:r>
        <w:rPr>
          <w:sz w:val="20"/>
          <w:szCs w:val="20"/>
        </w:rPr>
        <w:tab/>
      </w:r>
      <w:r>
        <w:rPr>
          <w:sz w:val="20"/>
          <w:szCs w:val="20"/>
        </w:rPr>
        <w:tab/>
        <w:t>1</w:t>
      </w:r>
      <w:r>
        <w:rPr>
          <w:sz w:val="20"/>
          <w:szCs w:val="20"/>
        </w:rPr>
        <w:tab/>
      </w:r>
      <w:r>
        <w:rPr>
          <w:sz w:val="20"/>
          <w:szCs w:val="20"/>
        </w:rPr>
        <w:tab/>
        <w:t>.8</w:t>
      </w:r>
      <w:r>
        <w:rPr>
          <w:sz w:val="20"/>
          <w:szCs w:val="20"/>
        </w:rPr>
        <w:tab/>
        <w:t>.</w:t>
      </w:r>
      <w:r>
        <w:rPr>
          <w:sz w:val="20"/>
          <w:szCs w:val="20"/>
        </w:rPr>
        <w:tab/>
        <w:t>9</w:t>
      </w:r>
      <w:r>
        <w:rPr>
          <w:sz w:val="20"/>
          <w:szCs w:val="20"/>
        </w:rPr>
        <w:tab/>
      </w:r>
      <w:r>
        <w:rPr>
          <w:sz w:val="20"/>
          <w:szCs w:val="20"/>
        </w:rPr>
        <w:tab/>
        <w:t>100.0</w:t>
      </w:r>
    </w:p>
    <w:p w:rsidR="004911DF" w:rsidRDefault="003B3254">
      <w:pPr>
        <w:pStyle w:val="NoSpacing"/>
        <w:jc w:val="both"/>
        <w:rPr>
          <w:sz w:val="20"/>
          <w:szCs w:val="20"/>
        </w:rPr>
      </w:pPr>
      <w:r>
        <w:rPr>
          <w:sz w:val="20"/>
          <w:szCs w:val="20"/>
        </w:rPr>
        <w:tab/>
      </w:r>
      <w:r>
        <w:rPr>
          <w:sz w:val="20"/>
          <w:szCs w:val="20"/>
        </w:rPr>
        <w:tab/>
      </w:r>
      <w:r>
        <w:rPr>
          <w:sz w:val="20"/>
          <w:szCs w:val="20"/>
        </w:rPr>
        <w:t>Total</w:t>
      </w:r>
      <w:r>
        <w:rPr>
          <w:sz w:val="20"/>
          <w:szCs w:val="20"/>
        </w:rPr>
        <w:tab/>
      </w:r>
      <w:r>
        <w:rPr>
          <w:sz w:val="20"/>
          <w:szCs w:val="20"/>
        </w:rPr>
        <w:tab/>
        <w:t>114</w:t>
      </w:r>
      <w:r>
        <w:rPr>
          <w:sz w:val="20"/>
          <w:szCs w:val="20"/>
        </w:rPr>
        <w:tab/>
      </w:r>
      <w:r>
        <w:rPr>
          <w:sz w:val="20"/>
          <w:szCs w:val="20"/>
        </w:rPr>
        <w:tab/>
        <w:t>96.6</w:t>
      </w:r>
      <w:r>
        <w:rPr>
          <w:sz w:val="20"/>
          <w:szCs w:val="20"/>
        </w:rPr>
        <w:tab/>
      </w:r>
      <w:r>
        <w:rPr>
          <w:sz w:val="20"/>
          <w:szCs w:val="20"/>
        </w:rPr>
        <w:tab/>
        <w:t>100.0</w:t>
      </w:r>
      <w:r>
        <w:rPr>
          <w:sz w:val="20"/>
          <w:szCs w:val="20"/>
        </w:rPr>
        <w:tab/>
      </w:r>
    </w:p>
    <w:p w:rsidR="004911DF" w:rsidRDefault="003B3254">
      <w:pPr>
        <w:pStyle w:val="NoSpacing"/>
        <w:jc w:val="both"/>
        <w:rPr>
          <w:sz w:val="20"/>
          <w:szCs w:val="20"/>
        </w:rPr>
      </w:pPr>
      <w:r>
        <w:rPr>
          <w:sz w:val="20"/>
          <w:szCs w:val="20"/>
        </w:rPr>
        <w:tab/>
      </w:r>
      <w:r>
        <w:rPr>
          <w:sz w:val="20"/>
          <w:szCs w:val="20"/>
        </w:rPr>
        <w:tab/>
        <w:t>Missing</w:t>
      </w:r>
      <w:r>
        <w:rPr>
          <w:sz w:val="20"/>
          <w:szCs w:val="20"/>
        </w:rPr>
        <w:tab/>
        <w:t>NR</w:t>
      </w:r>
      <w:r>
        <w:rPr>
          <w:sz w:val="20"/>
          <w:szCs w:val="20"/>
        </w:rPr>
        <w:tab/>
        <w:t>4</w:t>
      </w:r>
      <w:r>
        <w:rPr>
          <w:sz w:val="20"/>
          <w:szCs w:val="20"/>
        </w:rPr>
        <w:tab/>
      </w:r>
      <w:r>
        <w:rPr>
          <w:sz w:val="20"/>
          <w:szCs w:val="20"/>
        </w:rPr>
        <w:tab/>
        <w:t>3.4</w:t>
      </w:r>
      <w:r>
        <w:rPr>
          <w:sz w:val="20"/>
          <w:szCs w:val="20"/>
        </w:rPr>
        <w:tab/>
      </w:r>
      <w:r>
        <w:rPr>
          <w:sz w:val="20"/>
          <w:szCs w:val="20"/>
        </w:rPr>
        <w:tab/>
      </w:r>
    </w:p>
    <w:p w:rsidR="004911DF" w:rsidRDefault="003B3254">
      <w:pPr>
        <w:pStyle w:val="NoSpacing"/>
        <w:jc w:val="both"/>
      </w:pPr>
      <w:r>
        <w:rPr>
          <w:sz w:val="20"/>
          <w:szCs w:val="20"/>
        </w:rPr>
        <w:tab/>
      </w:r>
      <w:r>
        <w:rPr>
          <w:sz w:val="20"/>
          <w:szCs w:val="20"/>
        </w:rPr>
        <w:tab/>
        <w:t>Total</w:t>
      </w:r>
      <w:r>
        <w:rPr>
          <w:sz w:val="20"/>
          <w:szCs w:val="20"/>
        </w:rPr>
        <w:tab/>
      </w:r>
      <w:r>
        <w:rPr>
          <w:sz w:val="20"/>
          <w:szCs w:val="20"/>
        </w:rPr>
        <w:tab/>
        <w:t>118</w:t>
      </w:r>
      <w:r>
        <w:rPr>
          <w:sz w:val="20"/>
          <w:szCs w:val="20"/>
        </w:rPr>
        <w:tab/>
      </w:r>
      <w:r>
        <w:rPr>
          <w:sz w:val="20"/>
          <w:szCs w:val="20"/>
        </w:rPr>
        <w:tab/>
        <w:t>100.0</w:t>
      </w:r>
      <w:r>
        <w:rPr>
          <w:sz w:val="20"/>
          <w:szCs w:val="20"/>
        </w:rPr>
        <w:tab/>
      </w:r>
      <w:r>
        <w:tab/>
      </w:r>
    </w:p>
    <w:p w:rsidR="004911DF" w:rsidRDefault="004911DF">
      <w:pPr>
        <w:pStyle w:val="NoSpacing"/>
        <w:jc w:val="both"/>
      </w:pPr>
    </w:p>
    <w:p w:rsidR="004911DF" w:rsidRDefault="004911DF">
      <w:pPr>
        <w:pStyle w:val="NoSpacing"/>
        <w:jc w:val="both"/>
      </w:pPr>
    </w:p>
    <w:p w:rsidR="004911DF" w:rsidRDefault="003B3254">
      <w:pPr>
        <w:pStyle w:val="NoSpacing"/>
        <w:jc w:val="both"/>
      </w:pPr>
      <w:r>
        <w:t xml:space="preserve">From table 3 above, we can see that even though Akan is a popular or dominant L2 among majority of the migrants, 22.8% of the respondents did not consider Akan as their L2 or a </w:t>
      </w:r>
      <w:r>
        <w:lastRenderedPageBreak/>
        <w:t>language</w:t>
      </w:r>
      <w:r>
        <w:t xml:space="preserve"> they spoke for that matter. Given that Akan is a dominant language in the markets, we tried to find out what language migrants, at least those who did not command Akan, the language of the market, employed in conducting business in the markets. When this </w:t>
      </w:r>
      <w:r>
        <w:t>question was posed to the respondents, again Akan (Twi) emerged as the dominant language of business among migrants. It is interesting to note that the frequencies and percentages were higher here than they were for Akan as L2. What this reveals is that th</w:t>
      </w:r>
      <w:r>
        <w:t>ere are migrants who do not speak Akan as L2 but who choose to conduct business in the language (see table 4 below).</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t>Table 4: The language migrants speak with clients</w:t>
      </w:r>
      <w:r>
        <w:rPr>
          <w:rFonts w:ascii="Times New Roman Bold"/>
          <w:sz w:val="20"/>
          <w:szCs w:val="20"/>
        </w:rPr>
        <w:tab/>
      </w:r>
    </w:p>
    <w:p w:rsidR="004911DF" w:rsidRDefault="003B3254">
      <w:pPr>
        <w:pStyle w:val="NoSpacing"/>
        <w:jc w:val="both"/>
        <w:rPr>
          <w:sz w:val="20"/>
          <w:szCs w:val="20"/>
        </w:rPr>
      </w:pPr>
      <w:r>
        <w:tab/>
        <w:t xml:space="preserve">Language    </w:t>
      </w:r>
      <w:r>
        <w:rPr>
          <w:sz w:val="20"/>
          <w:szCs w:val="20"/>
        </w:rPr>
        <w:t>Frequency</w:t>
      </w:r>
      <w:r>
        <w:rPr>
          <w:sz w:val="20"/>
          <w:szCs w:val="20"/>
        </w:rPr>
        <w:tab/>
        <w:t>Percent</w:t>
      </w:r>
      <w:r>
        <w:rPr>
          <w:sz w:val="20"/>
          <w:szCs w:val="20"/>
        </w:rPr>
        <w:tab/>
        <w:t>Valid Percent</w:t>
      </w:r>
      <w:r>
        <w:rPr>
          <w:sz w:val="20"/>
          <w:szCs w:val="20"/>
        </w:rPr>
        <w:tab/>
        <w:t>Cumulative Percent</w:t>
      </w:r>
    </w:p>
    <w:p w:rsidR="004911DF" w:rsidRDefault="003B3254">
      <w:pPr>
        <w:pStyle w:val="NoSpacing"/>
        <w:jc w:val="both"/>
        <w:rPr>
          <w:sz w:val="20"/>
          <w:szCs w:val="20"/>
        </w:rPr>
      </w:pPr>
      <w:r>
        <w:rPr>
          <w:sz w:val="20"/>
          <w:szCs w:val="20"/>
        </w:rPr>
        <w:tab/>
        <w:t>Twi</w:t>
      </w:r>
      <w:r>
        <w:rPr>
          <w:sz w:val="20"/>
          <w:szCs w:val="20"/>
        </w:rPr>
        <w:tab/>
      </w:r>
      <w:r>
        <w:rPr>
          <w:sz w:val="20"/>
          <w:szCs w:val="20"/>
        </w:rPr>
        <w:tab/>
        <w:t>105</w:t>
      </w:r>
      <w:r>
        <w:rPr>
          <w:sz w:val="20"/>
          <w:szCs w:val="20"/>
        </w:rPr>
        <w:tab/>
        <w:t>89.0</w:t>
      </w:r>
      <w:r>
        <w:rPr>
          <w:sz w:val="20"/>
          <w:szCs w:val="20"/>
        </w:rPr>
        <w:tab/>
        <w:t xml:space="preserve">  91.3</w:t>
      </w:r>
      <w:r>
        <w:rPr>
          <w:sz w:val="20"/>
          <w:szCs w:val="20"/>
        </w:rPr>
        <w:tab/>
      </w:r>
      <w:r>
        <w:rPr>
          <w:sz w:val="20"/>
          <w:szCs w:val="20"/>
        </w:rPr>
        <w:tab/>
      </w:r>
      <w:r>
        <w:rPr>
          <w:sz w:val="20"/>
          <w:szCs w:val="20"/>
        </w:rPr>
        <w:t>91.3</w:t>
      </w:r>
    </w:p>
    <w:p w:rsidR="004911DF" w:rsidRDefault="003B3254">
      <w:pPr>
        <w:pStyle w:val="NoSpacing"/>
        <w:jc w:val="both"/>
        <w:rPr>
          <w:sz w:val="20"/>
          <w:szCs w:val="20"/>
        </w:rPr>
      </w:pPr>
      <w:r>
        <w:rPr>
          <w:sz w:val="20"/>
          <w:szCs w:val="20"/>
        </w:rPr>
        <w:tab/>
        <w:t>English</w:t>
      </w:r>
      <w:r>
        <w:rPr>
          <w:sz w:val="20"/>
          <w:szCs w:val="20"/>
        </w:rPr>
        <w:tab/>
      </w:r>
      <w:r>
        <w:rPr>
          <w:sz w:val="20"/>
          <w:szCs w:val="20"/>
        </w:rPr>
        <w:tab/>
        <w:t>3</w:t>
      </w:r>
      <w:r>
        <w:rPr>
          <w:sz w:val="20"/>
          <w:szCs w:val="20"/>
        </w:rPr>
        <w:tab/>
        <w:t>2.5</w:t>
      </w:r>
      <w:r>
        <w:rPr>
          <w:sz w:val="20"/>
          <w:szCs w:val="20"/>
        </w:rPr>
        <w:tab/>
        <w:t xml:space="preserve">  2.6</w:t>
      </w:r>
      <w:r>
        <w:rPr>
          <w:sz w:val="20"/>
          <w:szCs w:val="20"/>
        </w:rPr>
        <w:tab/>
      </w:r>
      <w:r>
        <w:rPr>
          <w:sz w:val="20"/>
          <w:szCs w:val="20"/>
        </w:rPr>
        <w:tab/>
        <w:t>93.9</w:t>
      </w:r>
    </w:p>
    <w:p w:rsidR="004911DF" w:rsidRDefault="003B3254">
      <w:pPr>
        <w:pStyle w:val="NoSpacing"/>
        <w:jc w:val="both"/>
        <w:rPr>
          <w:sz w:val="20"/>
          <w:szCs w:val="20"/>
        </w:rPr>
      </w:pPr>
      <w:r>
        <w:rPr>
          <w:sz w:val="20"/>
          <w:szCs w:val="20"/>
        </w:rPr>
        <w:tab/>
        <w:t>Sign language</w:t>
      </w:r>
      <w:r>
        <w:rPr>
          <w:sz w:val="20"/>
          <w:szCs w:val="20"/>
        </w:rPr>
        <w:tab/>
        <w:t>6</w:t>
      </w:r>
      <w:r>
        <w:rPr>
          <w:sz w:val="20"/>
          <w:szCs w:val="20"/>
        </w:rPr>
        <w:tab/>
        <w:t>5.1</w:t>
      </w:r>
      <w:r>
        <w:rPr>
          <w:sz w:val="20"/>
          <w:szCs w:val="20"/>
        </w:rPr>
        <w:tab/>
        <w:t xml:space="preserve">  5.2</w:t>
      </w:r>
      <w:r>
        <w:rPr>
          <w:sz w:val="20"/>
          <w:szCs w:val="20"/>
        </w:rPr>
        <w:tab/>
      </w:r>
      <w:r>
        <w:rPr>
          <w:sz w:val="20"/>
          <w:szCs w:val="20"/>
        </w:rPr>
        <w:tab/>
        <w:t>99.1</w:t>
      </w:r>
    </w:p>
    <w:p w:rsidR="004911DF" w:rsidRDefault="003B3254">
      <w:pPr>
        <w:pStyle w:val="NoSpacing"/>
        <w:jc w:val="both"/>
        <w:rPr>
          <w:sz w:val="20"/>
          <w:szCs w:val="20"/>
        </w:rPr>
      </w:pPr>
      <w:r>
        <w:rPr>
          <w:sz w:val="20"/>
          <w:szCs w:val="20"/>
        </w:rPr>
        <w:tab/>
        <w:t>None</w:t>
      </w:r>
      <w:r>
        <w:rPr>
          <w:sz w:val="20"/>
          <w:szCs w:val="20"/>
        </w:rPr>
        <w:tab/>
      </w:r>
      <w:r>
        <w:rPr>
          <w:sz w:val="20"/>
          <w:szCs w:val="20"/>
        </w:rPr>
        <w:tab/>
        <w:t>1</w:t>
      </w:r>
      <w:r>
        <w:rPr>
          <w:sz w:val="20"/>
          <w:szCs w:val="20"/>
        </w:rPr>
        <w:tab/>
        <w:t xml:space="preserve">  .8</w:t>
      </w:r>
      <w:r>
        <w:rPr>
          <w:sz w:val="20"/>
          <w:szCs w:val="20"/>
        </w:rPr>
        <w:tab/>
        <w:t xml:space="preserve">    .9</w:t>
      </w:r>
      <w:r>
        <w:rPr>
          <w:sz w:val="20"/>
          <w:szCs w:val="20"/>
        </w:rPr>
        <w:tab/>
      </w:r>
      <w:r>
        <w:rPr>
          <w:sz w:val="20"/>
          <w:szCs w:val="20"/>
        </w:rPr>
        <w:tab/>
        <w:t>100.0</w:t>
      </w:r>
    </w:p>
    <w:p w:rsidR="004911DF" w:rsidRDefault="003B3254">
      <w:pPr>
        <w:pStyle w:val="NoSpacing"/>
        <w:jc w:val="both"/>
        <w:rPr>
          <w:sz w:val="20"/>
          <w:szCs w:val="20"/>
        </w:rPr>
      </w:pPr>
      <w:r>
        <w:rPr>
          <w:sz w:val="20"/>
          <w:szCs w:val="20"/>
        </w:rPr>
        <w:tab/>
        <w:t>Total</w:t>
      </w:r>
      <w:r>
        <w:rPr>
          <w:sz w:val="20"/>
          <w:szCs w:val="20"/>
        </w:rPr>
        <w:tab/>
      </w:r>
      <w:r>
        <w:rPr>
          <w:sz w:val="20"/>
          <w:szCs w:val="20"/>
        </w:rPr>
        <w:tab/>
        <w:t>115</w:t>
      </w:r>
      <w:r>
        <w:rPr>
          <w:sz w:val="20"/>
          <w:szCs w:val="20"/>
        </w:rPr>
        <w:tab/>
        <w:t>97.5</w:t>
      </w:r>
      <w:r>
        <w:rPr>
          <w:sz w:val="20"/>
          <w:szCs w:val="20"/>
        </w:rPr>
        <w:tab/>
        <w:t xml:space="preserve">  100.0</w:t>
      </w:r>
      <w:r>
        <w:rPr>
          <w:sz w:val="20"/>
          <w:szCs w:val="20"/>
        </w:rPr>
        <w:tab/>
      </w:r>
    </w:p>
    <w:p w:rsidR="004911DF" w:rsidRDefault="003B3254">
      <w:pPr>
        <w:pStyle w:val="NoSpacing"/>
        <w:jc w:val="both"/>
        <w:rPr>
          <w:sz w:val="20"/>
          <w:szCs w:val="20"/>
        </w:rPr>
      </w:pPr>
      <w:r>
        <w:rPr>
          <w:sz w:val="20"/>
          <w:szCs w:val="20"/>
        </w:rPr>
        <w:tab/>
        <w:t>Missing</w:t>
      </w:r>
      <w:r>
        <w:rPr>
          <w:sz w:val="20"/>
          <w:szCs w:val="20"/>
        </w:rPr>
        <w:tab/>
        <w:t>NR</w:t>
      </w:r>
      <w:r>
        <w:rPr>
          <w:sz w:val="20"/>
          <w:szCs w:val="20"/>
        </w:rPr>
        <w:tab/>
        <w:t>3</w:t>
      </w:r>
      <w:r>
        <w:rPr>
          <w:sz w:val="20"/>
          <w:szCs w:val="20"/>
        </w:rPr>
        <w:tab/>
        <w:t xml:space="preserve">  2.5</w:t>
      </w:r>
      <w:r>
        <w:rPr>
          <w:sz w:val="20"/>
          <w:szCs w:val="20"/>
        </w:rPr>
        <w:tab/>
      </w:r>
      <w:r>
        <w:rPr>
          <w:sz w:val="20"/>
          <w:szCs w:val="20"/>
        </w:rPr>
        <w:tab/>
      </w:r>
    </w:p>
    <w:p w:rsidR="004911DF" w:rsidRDefault="003B3254">
      <w:pPr>
        <w:pStyle w:val="NoSpacing"/>
        <w:jc w:val="both"/>
        <w:rPr>
          <w:sz w:val="20"/>
          <w:szCs w:val="20"/>
        </w:rPr>
      </w:pPr>
      <w:r>
        <w:rPr>
          <w:sz w:val="20"/>
          <w:szCs w:val="20"/>
        </w:rPr>
        <w:tab/>
        <w:t>Total</w:t>
      </w:r>
      <w:r>
        <w:rPr>
          <w:sz w:val="20"/>
          <w:szCs w:val="20"/>
        </w:rPr>
        <w:tab/>
      </w:r>
      <w:r>
        <w:rPr>
          <w:sz w:val="20"/>
          <w:szCs w:val="20"/>
        </w:rPr>
        <w:tab/>
        <w:t>118</w:t>
      </w:r>
      <w:r>
        <w:rPr>
          <w:sz w:val="20"/>
          <w:szCs w:val="20"/>
        </w:rPr>
        <w:tab/>
        <w:t>100.0</w:t>
      </w:r>
      <w:r>
        <w:rPr>
          <w:sz w:val="20"/>
          <w:szCs w:val="20"/>
        </w:rPr>
        <w:tab/>
      </w:r>
      <w:r>
        <w:rPr>
          <w:sz w:val="20"/>
          <w:szCs w:val="20"/>
        </w:rPr>
        <w:tab/>
      </w:r>
    </w:p>
    <w:p w:rsidR="004911DF" w:rsidRDefault="004911DF">
      <w:pPr>
        <w:pStyle w:val="NoSpacing"/>
        <w:jc w:val="both"/>
        <w:rPr>
          <w:sz w:val="20"/>
          <w:szCs w:val="20"/>
        </w:rPr>
      </w:pPr>
    </w:p>
    <w:p w:rsidR="004911DF" w:rsidRDefault="003B3254">
      <w:pPr>
        <w:pStyle w:val="NoSpacing"/>
        <w:jc w:val="both"/>
      </w:pPr>
      <w:r>
        <w:t>When we asked respondents whether or not they already knew the language they speak with their</w:t>
      </w:r>
      <w:r>
        <w:t xml:space="preserve"> clients before they migrated, 34.5% responded in the affirmative while 65.5% responded in the negative. Table 4 also reveals that migrants who do not speak Akan as L2 or L1 adopt some coping strategies in order to do business in these markets. The next se</w:t>
      </w:r>
      <w:r>
        <w:t>ction discusses these coping strategies.</w:t>
      </w:r>
    </w:p>
    <w:p w:rsidR="004911DF" w:rsidRDefault="004911DF">
      <w:pPr>
        <w:pStyle w:val="NoSpacing"/>
        <w:jc w:val="both"/>
      </w:pPr>
    </w:p>
    <w:p w:rsidR="004911DF" w:rsidRDefault="003B3254">
      <w:pPr>
        <w:pStyle w:val="NoSpacing"/>
        <w:jc w:val="both"/>
        <w:rPr>
          <w:i/>
          <w:iCs/>
        </w:rPr>
      </w:pPr>
      <w:r>
        <w:rPr>
          <w:i/>
          <w:iCs/>
        </w:rPr>
        <w:t>5.3 Coping Strategies</w:t>
      </w:r>
    </w:p>
    <w:p w:rsidR="004911DF" w:rsidRDefault="003B3254">
      <w:pPr>
        <w:pStyle w:val="NoSpacing"/>
        <w:jc w:val="both"/>
      </w:pPr>
      <w:r>
        <w:t>From table 4 above, we can see that some migrants employ sign language in order to do business in the market. We also see the use of Akan (for business) by migrants who do not consider themsel</w:t>
      </w:r>
      <w:r>
        <w:t>ves as Akan speakers (compare tables 3 and 4). How is that possible? During the field work, we observed that many seasonal migrants who have been to the city once or twice have picked certain words, phrases, and sentences that pertain to their line of busi</w:t>
      </w:r>
      <w:r>
        <w:t>ness (appropriate registers,  e.g. come!, let</w:t>
      </w:r>
      <w:r>
        <w:rPr>
          <w:rFonts w:hAnsi="Times New Roman"/>
        </w:rPr>
        <w:t>’</w:t>
      </w:r>
      <w:r>
        <w:t xml:space="preserve">s go!, how much?) to be able to engage in basic communication with customers (for business purposes) in the host communities. </w:t>
      </w:r>
    </w:p>
    <w:p w:rsidR="004911DF" w:rsidRDefault="003B3254">
      <w:pPr>
        <w:pStyle w:val="NoSpacing"/>
        <w:jc w:val="both"/>
      </w:pPr>
      <w:r>
        <w:t xml:space="preserve">     Most porters who do not speak Twi have found innovative ways of going round th</w:t>
      </w:r>
      <w:r>
        <w:t>e problem. For instance, many first time migrants who were new to both the physical and linguistic environment tend to move in groups, usually with someone who has some command of Akan, the main language of the markets. Such new migrants are socialized int</w:t>
      </w:r>
      <w:r>
        <w:t>o the working environment (including the language of business) in these groups. Even though there was little negotiation observed between porters and customers, on few occasions, we observed some porters stepping in to offer linguistic assistance to collea</w:t>
      </w:r>
      <w:r>
        <w:t>gues who were having a language problem with bargaining a price or understanding the destination the goods were to be carried to. And these, mostly fall into the third category of porters who are the first time migrants</w:t>
      </w:r>
    </w:p>
    <w:p w:rsidR="004911DF" w:rsidRDefault="003B3254">
      <w:pPr>
        <w:pStyle w:val="NoSpacing"/>
        <w:jc w:val="both"/>
      </w:pPr>
      <w:r>
        <w:t xml:space="preserve">     Again, during our fieldwork, we</w:t>
      </w:r>
      <w:r>
        <w:t xml:space="preserve"> observed instances where a porter who spots a customer (but who cannot speak Twi) quickly calls a Twi-speaking porter to come and assist in interpretation. This is sometimes problematic as only few customers would allow such an arrangement. Most customers</w:t>
      </w:r>
      <w:r>
        <w:t xml:space="preserve"> do not have the time and the patience for such arrangements. Consequently, most customers decide on porters who understand Twi. On other occasions, the porter who could speak the required language will rather jump at the opportunity to take up the job her</w:t>
      </w:r>
      <w:r>
        <w:t xml:space="preserve">self to the disadvantage of the non-Twi-speaking migrants. Thus, non-Twi speaking porters in these markets appear to lose some business opportunities due to linguistic challenges.  </w:t>
      </w:r>
    </w:p>
    <w:p w:rsidR="004911DF" w:rsidRDefault="003B3254">
      <w:pPr>
        <w:pStyle w:val="NoSpacing"/>
        <w:jc w:val="both"/>
      </w:pPr>
      <w:r>
        <w:t>Another coping strategy some porters adopt to go around their linguistic c</w:t>
      </w:r>
      <w:r>
        <w:t xml:space="preserve">hallenges is to take whatever the customer says by nodding to avoid any linguistic interaction. This is how one respondent explained how this strategy works for her: </w:t>
      </w:r>
      <w:r>
        <w:rPr>
          <w:rFonts w:hAnsi="Times New Roman"/>
        </w:rPr>
        <w:t>“</w:t>
      </w:r>
      <w:r>
        <w:t xml:space="preserve">anything the customer says I would </w:t>
      </w:r>
      <w:r>
        <w:lastRenderedPageBreak/>
        <w:t>nod. So at the end of the day I can</w:t>
      </w:r>
      <w:r w:rsidRPr="00C155F7">
        <w:rPr>
          <w:rFonts w:hAnsi="Times New Roman"/>
        </w:rPr>
        <w:t>’</w:t>
      </w:r>
      <w:r>
        <w:t>t complain about w</w:t>
      </w:r>
      <w:r>
        <w:t>hatever the customer decides to give me</w:t>
      </w:r>
      <w:r>
        <w:rPr>
          <w:rFonts w:hAnsi="Times New Roman"/>
        </w:rPr>
        <w:t>”</w:t>
      </w:r>
      <w:r>
        <w:t xml:space="preserve">.  Another respondent explained that her initial way of dealing with the linguistic challenge of her job was to charge one Ghanaian cede (GHC1) no matter the items to be carried and the distance to be covered. </w:t>
      </w:r>
    </w:p>
    <w:p w:rsidR="004911DF" w:rsidRDefault="003B3254">
      <w:pPr>
        <w:pStyle w:val="NoSpacing"/>
        <w:jc w:val="both"/>
      </w:pPr>
      <w:r>
        <w:rPr>
          <w:rFonts w:hAnsi="Times New Roman"/>
        </w:rPr>
        <w:t>“</w:t>
      </w:r>
      <w:r>
        <w:t>When</w:t>
      </w:r>
      <w:r>
        <w:t xml:space="preserve">ever my services were needed, I would mention GHC1. </w:t>
      </w:r>
    </w:p>
    <w:p w:rsidR="004911DF" w:rsidRDefault="003B3254">
      <w:pPr>
        <w:pStyle w:val="NoSpacing"/>
        <w:jc w:val="both"/>
      </w:pPr>
      <w:r>
        <w:t>My friends used to even call me GHC1</w:t>
      </w:r>
      <w:r>
        <w:rPr>
          <w:rFonts w:hAnsi="Times New Roman"/>
        </w:rPr>
        <w:t>”</w:t>
      </w:r>
      <w:r>
        <w:t xml:space="preserve">. </w:t>
      </w:r>
    </w:p>
    <w:p w:rsidR="004911DF" w:rsidRDefault="003B3254">
      <w:pPr>
        <w:pStyle w:val="NoSpacing"/>
        <w:jc w:val="both"/>
      </w:pPr>
      <w:r>
        <w:t>According to this respondent, there were instances when customers even felt pity for her and paid her more than the GHC1 she requested.  At the time of the fieldwo</w:t>
      </w:r>
      <w:r>
        <w:t xml:space="preserve">rk, however, she was able to communicate with customers in the Twi. </w:t>
      </w:r>
    </w:p>
    <w:p w:rsidR="004911DF" w:rsidRDefault="003B3254">
      <w:pPr>
        <w:pStyle w:val="NoSpacing"/>
        <w:jc w:val="both"/>
      </w:pPr>
      <w:r>
        <w:t xml:space="preserve">     By far, the commonest procedure of getting work as a new porter who does not speak Twi was to always be with the sister. A little over 30% of our respondents reported having stayed w</w:t>
      </w:r>
      <w:r>
        <w:t>ith their sisters upon first arrival. For such new porters, their sisters become the medium of interaction between them and customers until they can operate on their own. However, we also observed that, not all customers at the market were Akan-speaking. F</w:t>
      </w:r>
      <w:r>
        <w:t xml:space="preserve">or instance, in the </w:t>
      </w:r>
      <w:proofErr w:type="spellStart"/>
      <w:r>
        <w:t>Madina</w:t>
      </w:r>
      <w:proofErr w:type="spellEnd"/>
      <w:r>
        <w:t xml:space="preserve"> and </w:t>
      </w:r>
      <w:proofErr w:type="spellStart"/>
      <w:r>
        <w:t>Agbogbloshie</w:t>
      </w:r>
      <w:proofErr w:type="spellEnd"/>
      <w:r>
        <w:t xml:space="preserve"> Markets, some of the customers were themselves migrants from Ghana</w:t>
      </w:r>
      <w:r w:rsidRPr="00C155F7">
        <w:rPr>
          <w:rFonts w:hAnsi="Times New Roman"/>
        </w:rPr>
        <w:t>’</w:t>
      </w:r>
      <w:r>
        <w:t>s north who are working in the formal economy especially as civil servants in government ministries and other state departments. Some of these ci</w:t>
      </w:r>
      <w:r>
        <w:t>vil servants come to the markets and speak their first languages to the porters thereby eliminating any linguistic challenge.</w:t>
      </w:r>
    </w:p>
    <w:p w:rsidR="004911DF" w:rsidRDefault="003B3254">
      <w:pPr>
        <w:pStyle w:val="NoSpacing"/>
        <w:jc w:val="both"/>
      </w:pPr>
      <w:r>
        <w:t xml:space="preserve">     Whilst both seasonal and first time migrants experience linguistic challenges, seasonal migrants, compared to first time migrants, had less linguistic challenges. Some of them are step-wise migrants. Before migrating to Accra, they had previously migr</w:t>
      </w:r>
      <w:r>
        <w:t xml:space="preserve">ated to Kumasi, the second largest city in Ghana, and home to the </w:t>
      </w:r>
      <w:proofErr w:type="spellStart"/>
      <w:r>
        <w:t>Ashantis</w:t>
      </w:r>
      <w:proofErr w:type="spellEnd"/>
      <w:r>
        <w:t>, the largest speakers of the dominant dialect (Twi) of Akan. Such step-wise migratory practices enable migrants to learn some Akan before they arrive in Accra. Again, based on their</w:t>
      </w:r>
      <w:r>
        <w:t xml:space="preserve"> previous migration to the city and their study of the market environment within which they work, the migrants reported that one needed very basic linguistic requirements to function in the informal economy of Accra. </w:t>
      </w:r>
    </w:p>
    <w:p w:rsidR="004911DF" w:rsidRDefault="003B3254">
      <w:pPr>
        <w:pStyle w:val="NoSpacing"/>
        <w:jc w:val="both"/>
      </w:pPr>
      <w:r>
        <w:t>For instance, it became obvious in our</w:t>
      </w:r>
      <w:r>
        <w:t xml:space="preserve"> interaction with these migrants during the fieldwork that these female migrants do not need an in-depth knowledge in the local language to have a successful business transaction with customers. </w:t>
      </w:r>
    </w:p>
    <w:p w:rsidR="004911DF" w:rsidRDefault="003B3254">
      <w:pPr>
        <w:pStyle w:val="NoSpacing"/>
        <w:jc w:val="both"/>
      </w:pPr>
      <w:r>
        <w:t xml:space="preserve">     Per their main task of carrying goods from one point to</w:t>
      </w:r>
      <w:r>
        <w:t xml:space="preserve"> another for a fee, the basic exchanges were first of all a customer (either by hand) beckoning to a waiting porter, or calling out with the most popular and waiting-to-be-heard Akan word </w:t>
      </w:r>
      <w:r>
        <w:rPr>
          <w:i/>
          <w:iCs/>
        </w:rPr>
        <w:t>bra</w:t>
      </w:r>
      <w:r>
        <w:t xml:space="preserve"> (come). Immediately, a porter approaches the customer who points</w:t>
      </w:r>
      <w:r>
        <w:t xml:space="preserve"> out to the goods to be carried and continued in Akan </w:t>
      </w:r>
      <w:r>
        <w:rPr>
          <w:rFonts w:hAnsi="Times New Roman"/>
        </w:rPr>
        <w:t>‘</w:t>
      </w:r>
      <w:proofErr w:type="spellStart"/>
      <w:r>
        <w:rPr>
          <w:i/>
          <w:iCs/>
        </w:rPr>
        <w:t>s</w:t>
      </w:r>
      <w:r>
        <w:rPr>
          <w:rFonts w:hAnsi="Times New Roman"/>
          <w:i/>
          <w:iCs/>
        </w:rPr>
        <w:t>ε</w:t>
      </w:r>
      <w:r>
        <w:rPr>
          <w:i/>
          <w:iCs/>
        </w:rPr>
        <w:t>n</w:t>
      </w:r>
      <w:proofErr w:type="spellEnd"/>
      <w:r>
        <w:rPr>
          <w:i/>
          <w:iCs/>
        </w:rPr>
        <w:t xml:space="preserve"> or </w:t>
      </w:r>
      <w:proofErr w:type="spellStart"/>
      <w:r>
        <w:rPr>
          <w:i/>
          <w:iCs/>
        </w:rPr>
        <w:t>wob</w:t>
      </w:r>
      <w:r>
        <w:rPr>
          <w:rFonts w:hAnsi="Times New Roman"/>
          <w:i/>
          <w:iCs/>
        </w:rPr>
        <w:t>ε</w:t>
      </w:r>
      <w:r>
        <w:rPr>
          <w:i/>
          <w:iCs/>
        </w:rPr>
        <w:t>gye</w:t>
      </w:r>
      <w:proofErr w:type="spellEnd"/>
      <w:r>
        <w:rPr>
          <w:i/>
          <w:iCs/>
        </w:rPr>
        <w:t xml:space="preserve"> </w:t>
      </w:r>
      <w:proofErr w:type="spellStart"/>
      <w:r>
        <w:rPr>
          <w:i/>
          <w:iCs/>
        </w:rPr>
        <w:t>s</w:t>
      </w:r>
      <w:r>
        <w:rPr>
          <w:rFonts w:hAnsi="Times New Roman"/>
          <w:i/>
          <w:iCs/>
        </w:rPr>
        <w:t>ε</w:t>
      </w:r>
      <w:r>
        <w:rPr>
          <w:i/>
          <w:iCs/>
        </w:rPr>
        <w:t>n</w:t>
      </w:r>
      <w:proofErr w:type="spellEnd"/>
      <w:r>
        <w:rPr>
          <w:i/>
          <w:iCs/>
        </w:rPr>
        <w:t>?</w:t>
      </w:r>
      <w:r>
        <w:rPr>
          <w:rFonts w:hAnsi="Times New Roman"/>
          <w:i/>
          <w:iCs/>
        </w:rPr>
        <w:t>’</w:t>
      </w:r>
      <w:r>
        <w:t xml:space="preserve"> (How much or how much will you charge?). At this juncture, the customer could quickly add the name of the destination where the goods would be carried to. Since these migrants have</w:t>
      </w:r>
      <w:r>
        <w:t xml:space="preserve"> sufficient knowledge of the various lorry stations (bus terminals) and spots near and around the market, they are able to access the size of the goods and the distance to be covered, and negotiate the fees with the customer. Alternatively, the customer co</w:t>
      </w:r>
      <w:r>
        <w:t>uld just point to the goods, the porter carries them to the destination of the customer before fees negotiations commence. In either scenario, very minimum linguistic exchange is required and therefore, very little linguistic knowledge may be sufficient to</w:t>
      </w:r>
      <w:r>
        <w:t xml:space="preserve"> conduct business (in their line of business). </w:t>
      </w:r>
    </w:p>
    <w:p w:rsidR="004911DF" w:rsidRDefault="003B3254">
      <w:pPr>
        <w:pStyle w:val="NoSpacing"/>
        <w:jc w:val="both"/>
      </w:pPr>
      <w:r>
        <w:t xml:space="preserve">     It is of interest to note that while all the strategies discussed above were reported to be used by the </w:t>
      </w:r>
      <w:proofErr w:type="spellStart"/>
      <w:r>
        <w:t>Kayaye</w:t>
      </w:r>
      <w:proofErr w:type="spellEnd"/>
      <w:r>
        <w:t>, the data revealed that learning the appropriate registers (key vocabulary) needed to transa</w:t>
      </w:r>
      <w:r>
        <w:t>ct business was the most employed strategy.  Indeed, the data revealed that 91.3% of the migrants who use Akan to do business learned it in Accra. Combining this finding with the finding that an overwhelming majority of the migrants (72%) had lived in Accr</w:t>
      </w:r>
      <w:r>
        <w:t xml:space="preserve">a for between one month and thirty-six months, we may conclude that the level of competence in Akan can barely go beyond that of incipient bilinguals. Table 5 below summaries the migrants responses to the question of how they managed linguistic challenges </w:t>
      </w:r>
      <w:r>
        <w:t>in their line of business.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lastRenderedPageBreak/>
        <w:t>Table 5: Strategies for coping with linguistic challenges</w:t>
      </w:r>
      <w:r>
        <w:rPr>
          <w:rFonts w:ascii="Times New Roman Bold"/>
          <w:sz w:val="20"/>
          <w:szCs w:val="20"/>
        </w:rPr>
        <w:tab/>
      </w:r>
      <w:r>
        <w:rPr>
          <w:rFonts w:ascii="Times New Roman Bold"/>
          <w:sz w:val="20"/>
          <w:szCs w:val="20"/>
        </w:rPr>
        <w:tab/>
      </w:r>
      <w:r>
        <w:rPr>
          <w:rFonts w:ascii="Times New Roman Bold"/>
          <w:sz w:val="20"/>
          <w:szCs w:val="20"/>
        </w:rPr>
        <w:tab/>
      </w: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rPr>
        <w:t xml:space="preserve"> </w:t>
      </w:r>
      <w:r>
        <w:rPr>
          <w:rFonts w:ascii="Times New Roman Bold"/>
          <w:sz w:val="20"/>
          <w:szCs w:val="20"/>
        </w:rPr>
        <w:t>Strategy</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t>Valid Percent</w:t>
      </w:r>
      <w:r>
        <w:rPr>
          <w:rFonts w:ascii="Times New Roman Bold"/>
          <w:sz w:val="20"/>
          <w:szCs w:val="20"/>
        </w:rPr>
        <w:tab/>
        <w:t>Cumulative Percent</w:t>
      </w:r>
    </w:p>
    <w:p w:rsidR="004911DF" w:rsidRDefault="003B3254">
      <w:pPr>
        <w:pStyle w:val="NoSpacing"/>
        <w:jc w:val="both"/>
        <w:rPr>
          <w:sz w:val="20"/>
          <w:szCs w:val="20"/>
        </w:rPr>
      </w:pPr>
      <w:r>
        <w:rPr>
          <w:sz w:val="20"/>
          <w:szCs w:val="20"/>
        </w:rPr>
        <w:t xml:space="preserve"> The help of other colleagues</w:t>
      </w:r>
      <w:r>
        <w:rPr>
          <w:sz w:val="20"/>
          <w:szCs w:val="20"/>
        </w:rPr>
        <w:tab/>
        <w:t>31</w:t>
      </w:r>
      <w:r>
        <w:rPr>
          <w:sz w:val="20"/>
          <w:szCs w:val="20"/>
        </w:rPr>
        <w:tab/>
        <w:t>26.3</w:t>
      </w:r>
      <w:r>
        <w:rPr>
          <w:sz w:val="20"/>
          <w:szCs w:val="20"/>
        </w:rPr>
        <w:tab/>
        <w:t>36.9</w:t>
      </w:r>
      <w:r>
        <w:rPr>
          <w:sz w:val="20"/>
          <w:szCs w:val="20"/>
        </w:rPr>
        <w:tab/>
      </w:r>
      <w:r>
        <w:rPr>
          <w:sz w:val="20"/>
          <w:szCs w:val="20"/>
        </w:rPr>
        <w:tab/>
      </w:r>
      <w:r>
        <w:rPr>
          <w:sz w:val="20"/>
          <w:szCs w:val="20"/>
        </w:rPr>
        <w:tab/>
        <w:t>36.9</w:t>
      </w:r>
    </w:p>
    <w:p w:rsidR="004911DF" w:rsidRDefault="003B3254">
      <w:pPr>
        <w:pStyle w:val="NoSpacing"/>
        <w:jc w:val="both"/>
        <w:rPr>
          <w:sz w:val="20"/>
          <w:szCs w:val="20"/>
        </w:rPr>
      </w:pPr>
      <w:r>
        <w:rPr>
          <w:sz w:val="20"/>
          <w:szCs w:val="20"/>
        </w:rPr>
        <w:t xml:space="preserve"> The use of sign language</w:t>
      </w:r>
      <w:r>
        <w:rPr>
          <w:sz w:val="20"/>
          <w:szCs w:val="20"/>
        </w:rPr>
        <w:tab/>
      </w:r>
      <w:r>
        <w:rPr>
          <w:sz w:val="20"/>
          <w:szCs w:val="20"/>
        </w:rPr>
        <w:tab/>
        <w:t>17</w:t>
      </w:r>
      <w:r>
        <w:rPr>
          <w:sz w:val="20"/>
          <w:szCs w:val="20"/>
        </w:rPr>
        <w:tab/>
        <w:t>14.4</w:t>
      </w:r>
      <w:r>
        <w:rPr>
          <w:sz w:val="20"/>
          <w:szCs w:val="20"/>
        </w:rPr>
        <w:tab/>
        <w:t>20.2</w:t>
      </w:r>
      <w:r>
        <w:rPr>
          <w:sz w:val="20"/>
          <w:szCs w:val="20"/>
        </w:rPr>
        <w:tab/>
      </w:r>
      <w:r>
        <w:rPr>
          <w:sz w:val="20"/>
          <w:szCs w:val="20"/>
        </w:rPr>
        <w:tab/>
      </w:r>
      <w:r>
        <w:rPr>
          <w:sz w:val="20"/>
          <w:szCs w:val="20"/>
        </w:rPr>
        <w:tab/>
        <w:t>57.1</w:t>
      </w:r>
    </w:p>
    <w:p w:rsidR="004911DF" w:rsidRDefault="003B3254">
      <w:pPr>
        <w:pStyle w:val="NoSpacing"/>
        <w:jc w:val="both"/>
        <w:rPr>
          <w:sz w:val="20"/>
          <w:szCs w:val="20"/>
        </w:rPr>
      </w:pPr>
      <w:r>
        <w:rPr>
          <w:sz w:val="20"/>
          <w:szCs w:val="20"/>
        </w:rPr>
        <w:t xml:space="preserve"> Learning key vocabulary</w:t>
      </w:r>
      <w:r>
        <w:rPr>
          <w:sz w:val="20"/>
          <w:szCs w:val="20"/>
        </w:rPr>
        <w:tab/>
      </w:r>
      <w:r>
        <w:rPr>
          <w:sz w:val="20"/>
          <w:szCs w:val="20"/>
        </w:rPr>
        <w:tab/>
        <w:t>36</w:t>
      </w:r>
      <w:r>
        <w:rPr>
          <w:sz w:val="20"/>
          <w:szCs w:val="20"/>
        </w:rPr>
        <w:tab/>
        <w:t>30.5</w:t>
      </w:r>
      <w:r>
        <w:rPr>
          <w:sz w:val="20"/>
          <w:szCs w:val="20"/>
        </w:rPr>
        <w:tab/>
        <w:t>42.9</w:t>
      </w:r>
      <w:r>
        <w:rPr>
          <w:sz w:val="20"/>
          <w:szCs w:val="20"/>
        </w:rPr>
        <w:tab/>
      </w:r>
      <w:r>
        <w:rPr>
          <w:sz w:val="20"/>
          <w:szCs w:val="20"/>
        </w:rPr>
        <w:tab/>
      </w:r>
      <w:r>
        <w:rPr>
          <w:sz w:val="20"/>
          <w:szCs w:val="20"/>
        </w:rPr>
        <w:tab/>
        <w:t>100.0</w:t>
      </w:r>
    </w:p>
    <w:p w:rsidR="004911DF" w:rsidRDefault="003B3254">
      <w:pPr>
        <w:pStyle w:val="NoSpacing"/>
        <w:jc w:val="both"/>
        <w:rPr>
          <w:sz w:val="20"/>
          <w:szCs w:val="20"/>
        </w:rPr>
      </w:pPr>
      <w:r>
        <w:rPr>
          <w:sz w:val="20"/>
          <w:szCs w:val="20"/>
        </w:rPr>
        <w:t>Total</w:t>
      </w:r>
      <w:r>
        <w:rPr>
          <w:sz w:val="20"/>
          <w:szCs w:val="20"/>
        </w:rPr>
        <w:tab/>
      </w:r>
      <w:r>
        <w:rPr>
          <w:sz w:val="20"/>
          <w:szCs w:val="20"/>
        </w:rPr>
        <w:tab/>
      </w:r>
      <w:r>
        <w:rPr>
          <w:sz w:val="20"/>
          <w:szCs w:val="20"/>
        </w:rPr>
        <w:tab/>
      </w:r>
      <w:r>
        <w:rPr>
          <w:sz w:val="20"/>
          <w:szCs w:val="20"/>
        </w:rPr>
        <w:tab/>
        <w:t>84</w:t>
      </w:r>
      <w:r>
        <w:rPr>
          <w:sz w:val="20"/>
          <w:szCs w:val="20"/>
        </w:rPr>
        <w:tab/>
        <w:t>71.2</w:t>
      </w:r>
      <w:r>
        <w:rPr>
          <w:sz w:val="20"/>
          <w:szCs w:val="20"/>
        </w:rPr>
        <w:tab/>
        <w:t>100.0</w:t>
      </w:r>
      <w:r>
        <w:rPr>
          <w:sz w:val="20"/>
          <w:szCs w:val="20"/>
        </w:rPr>
        <w:tab/>
      </w:r>
    </w:p>
    <w:p w:rsidR="004911DF" w:rsidRDefault="003B3254">
      <w:pPr>
        <w:pStyle w:val="NoSpacing"/>
        <w:jc w:val="both"/>
        <w:rPr>
          <w:sz w:val="20"/>
          <w:szCs w:val="20"/>
        </w:rPr>
      </w:pPr>
      <w:r>
        <w:rPr>
          <w:sz w:val="20"/>
          <w:szCs w:val="20"/>
        </w:rPr>
        <w:t>Missing</w:t>
      </w:r>
      <w:r>
        <w:rPr>
          <w:sz w:val="20"/>
          <w:szCs w:val="20"/>
        </w:rPr>
        <w:tab/>
        <w:t>NR</w:t>
      </w:r>
      <w:r>
        <w:rPr>
          <w:sz w:val="20"/>
          <w:szCs w:val="20"/>
        </w:rPr>
        <w:tab/>
      </w:r>
      <w:r>
        <w:rPr>
          <w:sz w:val="20"/>
          <w:szCs w:val="20"/>
        </w:rPr>
        <w:tab/>
      </w:r>
      <w:r>
        <w:rPr>
          <w:sz w:val="20"/>
          <w:szCs w:val="20"/>
        </w:rPr>
        <w:tab/>
        <w:t>34</w:t>
      </w:r>
      <w:r>
        <w:rPr>
          <w:sz w:val="20"/>
          <w:szCs w:val="20"/>
        </w:rPr>
        <w:tab/>
        <w:t>28.8</w:t>
      </w:r>
      <w:r>
        <w:rPr>
          <w:sz w:val="20"/>
          <w:szCs w:val="20"/>
        </w:rPr>
        <w:tab/>
      </w:r>
      <w:r>
        <w:rPr>
          <w:sz w:val="20"/>
          <w:szCs w:val="20"/>
        </w:rPr>
        <w:tab/>
      </w:r>
    </w:p>
    <w:p w:rsidR="004911DF" w:rsidRDefault="003B3254">
      <w:pPr>
        <w:pStyle w:val="NoSpacing"/>
        <w:jc w:val="both"/>
        <w:rPr>
          <w:sz w:val="20"/>
          <w:szCs w:val="20"/>
        </w:rPr>
      </w:pPr>
      <w:r>
        <w:rPr>
          <w:sz w:val="20"/>
          <w:szCs w:val="20"/>
        </w:rPr>
        <w:t>Total</w:t>
      </w:r>
      <w:r>
        <w:rPr>
          <w:sz w:val="20"/>
          <w:szCs w:val="20"/>
        </w:rPr>
        <w:tab/>
      </w:r>
      <w:r>
        <w:rPr>
          <w:sz w:val="20"/>
          <w:szCs w:val="20"/>
        </w:rPr>
        <w:tab/>
      </w:r>
      <w:r>
        <w:rPr>
          <w:sz w:val="20"/>
          <w:szCs w:val="20"/>
        </w:rPr>
        <w:tab/>
      </w:r>
      <w:r>
        <w:rPr>
          <w:sz w:val="20"/>
          <w:szCs w:val="20"/>
        </w:rPr>
        <w:tab/>
        <w:t>118</w:t>
      </w:r>
      <w:r>
        <w:rPr>
          <w:sz w:val="20"/>
          <w:szCs w:val="20"/>
        </w:rPr>
        <w:tab/>
        <w:t>100.0</w:t>
      </w:r>
      <w:r>
        <w:rPr>
          <w:sz w:val="20"/>
          <w:szCs w:val="20"/>
        </w:rPr>
        <w:tab/>
      </w:r>
      <w:r>
        <w:rPr>
          <w:sz w:val="20"/>
          <w:szCs w:val="20"/>
        </w:rPr>
        <w:tab/>
      </w:r>
    </w:p>
    <w:p w:rsidR="004911DF" w:rsidRDefault="004911DF">
      <w:pPr>
        <w:pStyle w:val="NoSpacing"/>
        <w:jc w:val="both"/>
        <w:rPr>
          <w:sz w:val="20"/>
          <w:szCs w:val="20"/>
        </w:rPr>
      </w:pPr>
    </w:p>
    <w:p w:rsidR="004911DF" w:rsidRDefault="003B3254">
      <w:pPr>
        <w:pStyle w:val="NoSpacing"/>
        <w:jc w:val="both"/>
      </w:pPr>
      <w:r>
        <w:t xml:space="preserve">In trying to explore why migrants chose to do business in a language they had very little competence in, we posed this question to them </w:t>
      </w:r>
      <w:r>
        <w:rPr>
          <w:rFonts w:hAnsi="Times New Roman"/>
        </w:rPr>
        <w:t>‘</w:t>
      </w:r>
      <w:r>
        <w:t>why</w:t>
      </w:r>
      <w:r>
        <w:t xml:space="preserve"> did you learn this language? Table 6. below summaries the responses of the migrants:</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sz w:val="20"/>
          <w:szCs w:val="20"/>
        </w:rPr>
      </w:pPr>
      <w:r>
        <w:rPr>
          <w:rFonts w:ascii="Times New Roman Bold"/>
          <w:sz w:val="20"/>
          <w:szCs w:val="20"/>
        </w:rPr>
        <w:t>Table 6: why migrants learn language of the market</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rsidR="004911DF" w:rsidRDefault="003B3254">
      <w:pPr>
        <w:pStyle w:val="NoSpacing"/>
        <w:jc w:val="both"/>
        <w:rPr>
          <w:rFonts w:ascii="Times New Roman Bold" w:eastAsia="Times New Roman Bold" w:hAnsi="Times New Roman Bold" w:cs="Times New Roman Bold"/>
          <w:sz w:val="20"/>
          <w:szCs w:val="20"/>
        </w:rPr>
      </w:pPr>
      <w:r>
        <w:rPr>
          <w:sz w:val="20"/>
          <w:szCs w:val="20"/>
        </w:rPr>
        <w:t xml:space="preserve">   </w:t>
      </w:r>
      <w:r>
        <w:rPr>
          <w:rFonts w:ascii="Times New Roman Bold"/>
          <w:sz w:val="20"/>
          <w:szCs w:val="20"/>
        </w:rPr>
        <w:t>Reason</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t xml:space="preserve">   Valid Percent</w:t>
      </w:r>
      <w:r>
        <w:rPr>
          <w:rFonts w:ascii="Times New Roman Bold"/>
          <w:sz w:val="20"/>
          <w:szCs w:val="20"/>
        </w:rPr>
        <w:tab/>
        <w:t>Cumulative Percent</w:t>
      </w:r>
    </w:p>
    <w:p w:rsidR="004911DF" w:rsidRDefault="003B3254">
      <w:pPr>
        <w:pStyle w:val="NoSpacing"/>
        <w:jc w:val="both"/>
        <w:rPr>
          <w:sz w:val="20"/>
          <w:szCs w:val="20"/>
        </w:rPr>
      </w:pPr>
      <w:r>
        <w:rPr>
          <w:sz w:val="20"/>
          <w:szCs w:val="20"/>
        </w:rPr>
        <w:t>To communicate properly with clients</w:t>
      </w:r>
      <w:r>
        <w:rPr>
          <w:sz w:val="20"/>
          <w:szCs w:val="20"/>
        </w:rPr>
        <w:tab/>
        <w:t>58</w:t>
      </w:r>
      <w:r>
        <w:rPr>
          <w:sz w:val="20"/>
          <w:szCs w:val="20"/>
        </w:rPr>
        <w:tab/>
      </w:r>
      <w:r>
        <w:rPr>
          <w:sz w:val="20"/>
          <w:szCs w:val="20"/>
        </w:rPr>
        <w:tab/>
        <w:t>49.2</w:t>
      </w:r>
      <w:r>
        <w:rPr>
          <w:sz w:val="20"/>
          <w:szCs w:val="20"/>
        </w:rPr>
        <w:tab/>
      </w:r>
      <w:r>
        <w:rPr>
          <w:sz w:val="20"/>
          <w:szCs w:val="20"/>
        </w:rPr>
        <w:tab/>
        <w:t>59.8</w:t>
      </w:r>
      <w:r>
        <w:rPr>
          <w:sz w:val="20"/>
          <w:szCs w:val="20"/>
        </w:rPr>
        <w:tab/>
        <w:t>59.8</w:t>
      </w:r>
    </w:p>
    <w:p w:rsidR="004911DF" w:rsidRDefault="003B3254">
      <w:pPr>
        <w:pStyle w:val="NoSpacing"/>
        <w:jc w:val="both"/>
        <w:rPr>
          <w:sz w:val="20"/>
          <w:szCs w:val="20"/>
        </w:rPr>
      </w:pPr>
      <w:r>
        <w:rPr>
          <w:sz w:val="20"/>
          <w:szCs w:val="20"/>
        </w:rPr>
        <w:t>To communicate with people in general</w:t>
      </w:r>
      <w:r>
        <w:rPr>
          <w:sz w:val="20"/>
          <w:szCs w:val="20"/>
        </w:rPr>
        <w:tab/>
        <w:t>25</w:t>
      </w:r>
      <w:r>
        <w:rPr>
          <w:sz w:val="20"/>
          <w:szCs w:val="20"/>
        </w:rPr>
        <w:tab/>
      </w:r>
      <w:r>
        <w:rPr>
          <w:sz w:val="20"/>
          <w:szCs w:val="20"/>
        </w:rPr>
        <w:tab/>
        <w:t>21.2</w:t>
      </w:r>
      <w:r>
        <w:rPr>
          <w:sz w:val="20"/>
          <w:szCs w:val="20"/>
        </w:rPr>
        <w:tab/>
      </w:r>
      <w:r>
        <w:rPr>
          <w:sz w:val="20"/>
          <w:szCs w:val="20"/>
        </w:rPr>
        <w:tab/>
        <w:t>25.8</w:t>
      </w:r>
      <w:r>
        <w:rPr>
          <w:sz w:val="20"/>
          <w:szCs w:val="20"/>
        </w:rPr>
        <w:tab/>
        <w:t>85.6</w:t>
      </w:r>
    </w:p>
    <w:p w:rsidR="004911DF" w:rsidRDefault="003B3254">
      <w:pPr>
        <w:pStyle w:val="NoSpacing"/>
        <w:jc w:val="both"/>
        <w:rPr>
          <w:sz w:val="20"/>
          <w:szCs w:val="20"/>
        </w:rPr>
      </w:pPr>
      <w:r>
        <w:rPr>
          <w:sz w:val="20"/>
          <w:szCs w:val="20"/>
        </w:rPr>
        <w:t>I just learnt it</w:t>
      </w:r>
      <w:r>
        <w:rPr>
          <w:sz w:val="20"/>
          <w:szCs w:val="20"/>
        </w:rPr>
        <w:tab/>
      </w:r>
      <w:r>
        <w:rPr>
          <w:sz w:val="20"/>
          <w:szCs w:val="20"/>
        </w:rPr>
        <w:tab/>
      </w:r>
      <w:r>
        <w:rPr>
          <w:sz w:val="20"/>
          <w:szCs w:val="20"/>
        </w:rPr>
        <w:tab/>
      </w:r>
      <w:r>
        <w:rPr>
          <w:sz w:val="20"/>
          <w:szCs w:val="20"/>
        </w:rPr>
        <w:tab/>
        <w:t>13</w:t>
      </w:r>
      <w:r>
        <w:rPr>
          <w:sz w:val="20"/>
          <w:szCs w:val="20"/>
        </w:rPr>
        <w:tab/>
      </w:r>
      <w:r>
        <w:rPr>
          <w:sz w:val="20"/>
          <w:szCs w:val="20"/>
        </w:rPr>
        <w:tab/>
        <w:t>11.0</w:t>
      </w:r>
      <w:r>
        <w:rPr>
          <w:sz w:val="20"/>
          <w:szCs w:val="20"/>
        </w:rPr>
        <w:tab/>
      </w:r>
      <w:r>
        <w:rPr>
          <w:sz w:val="20"/>
          <w:szCs w:val="20"/>
        </w:rPr>
        <w:tab/>
        <w:t>13.4</w:t>
      </w:r>
      <w:r>
        <w:rPr>
          <w:sz w:val="20"/>
          <w:szCs w:val="20"/>
        </w:rPr>
        <w:tab/>
        <w:t>99.0</w:t>
      </w:r>
    </w:p>
    <w:p w:rsidR="004911DF" w:rsidRDefault="003B3254">
      <w:pPr>
        <w:pStyle w:val="NoSpacing"/>
        <w:jc w:val="both"/>
        <w:rPr>
          <w:sz w:val="20"/>
          <w:szCs w:val="20"/>
        </w:rPr>
      </w:pPr>
      <w:r>
        <w:rPr>
          <w:sz w:val="20"/>
          <w:szCs w:val="20"/>
        </w:rPr>
        <w:t>It is prestigious to speak Twi</w:t>
      </w:r>
      <w:r>
        <w:rPr>
          <w:sz w:val="20"/>
          <w:szCs w:val="20"/>
        </w:rPr>
        <w:tab/>
      </w:r>
      <w:r>
        <w:rPr>
          <w:sz w:val="20"/>
          <w:szCs w:val="20"/>
        </w:rPr>
        <w:tab/>
        <w:t>1</w:t>
      </w:r>
      <w:r>
        <w:rPr>
          <w:sz w:val="20"/>
          <w:szCs w:val="20"/>
        </w:rPr>
        <w:tab/>
      </w:r>
      <w:r>
        <w:rPr>
          <w:sz w:val="20"/>
          <w:szCs w:val="20"/>
        </w:rPr>
        <w:tab/>
        <w:t>.8</w:t>
      </w:r>
      <w:r>
        <w:rPr>
          <w:sz w:val="20"/>
          <w:szCs w:val="20"/>
        </w:rPr>
        <w:tab/>
      </w:r>
      <w:r>
        <w:rPr>
          <w:sz w:val="20"/>
          <w:szCs w:val="20"/>
        </w:rPr>
        <w:tab/>
        <w:t>1.0</w:t>
      </w:r>
      <w:r>
        <w:rPr>
          <w:sz w:val="20"/>
          <w:szCs w:val="20"/>
        </w:rPr>
        <w:tab/>
        <w:t>100.0</w:t>
      </w:r>
    </w:p>
    <w:p w:rsidR="004911DF" w:rsidRDefault="003B3254">
      <w:pPr>
        <w:pStyle w:val="NoSpacing"/>
        <w:jc w:val="both"/>
        <w:rPr>
          <w:sz w:val="20"/>
          <w:szCs w:val="20"/>
        </w:rPr>
      </w:pPr>
      <w:r>
        <w:rPr>
          <w:sz w:val="20"/>
          <w:szCs w:val="20"/>
        </w:rPr>
        <w:t>Total</w:t>
      </w:r>
      <w:r>
        <w:rPr>
          <w:sz w:val="20"/>
          <w:szCs w:val="20"/>
        </w:rPr>
        <w:tab/>
      </w:r>
      <w:r>
        <w:rPr>
          <w:sz w:val="20"/>
          <w:szCs w:val="20"/>
        </w:rPr>
        <w:tab/>
      </w:r>
      <w:r>
        <w:rPr>
          <w:sz w:val="20"/>
          <w:szCs w:val="20"/>
        </w:rPr>
        <w:tab/>
      </w:r>
      <w:r>
        <w:rPr>
          <w:sz w:val="20"/>
          <w:szCs w:val="20"/>
        </w:rPr>
        <w:tab/>
      </w:r>
      <w:r>
        <w:rPr>
          <w:sz w:val="20"/>
          <w:szCs w:val="20"/>
        </w:rPr>
        <w:tab/>
        <w:t>97</w:t>
      </w:r>
      <w:r>
        <w:rPr>
          <w:sz w:val="20"/>
          <w:szCs w:val="20"/>
        </w:rPr>
        <w:tab/>
      </w:r>
      <w:r>
        <w:rPr>
          <w:sz w:val="20"/>
          <w:szCs w:val="20"/>
        </w:rPr>
        <w:tab/>
        <w:t>82.2</w:t>
      </w:r>
      <w:r>
        <w:rPr>
          <w:sz w:val="20"/>
          <w:szCs w:val="20"/>
        </w:rPr>
        <w:tab/>
      </w:r>
      <w:r>
        <w:rPr>
          <w:sz w:val="20"/>
          <w:szCs w:val="20"/>
        </w:rPr>
        <w:tab/>
        <w:t>100.0</w:t>
      </w:r>
      <w:r>
        <w:rPr>
          <w:sz w:val="20"/>
          <w:szCs w:val="20"/>
        </w:rPr>
        <w:tab/>
      </w:r>
    </w:p>
    <w:p w:rsidR="004911DF" w:rsidRDefault="003B3254">
      <w:pPr>
        <w:pStyle w:val="NoSpacing"/>
        <w:jc w:val="both"/>
        <w:rPr>
          <w:sz w:val="20"/>
          <w:szCs w:val="20"/>
        </w:rPr>
      </w:pPr>
      <w:r>
        <w:rPr>
          <w:sz w:val="20"/>
          <w:szCs w:val="20"/>
        </w:rPr>
        <w:t>Missing</w:t>
      </w:r>
      <w:r>
        <w:rPr>
          <w:sz w:val="20"/>
          <w:szCs w:val="20"/>
        </w:rPr>
        <w:tab/>
        <w:t>NR</w:t>
      </w:r>
      <w:r>
        <w:rPr>
          <w:sz w:val="20"/>
          <w:szCs w:val="20"/>
        </w:rPr>
        <w:tab/>
      </w:r>
      <w:r>
        <w:rPr>
          <w:sz w:val="20"/>
          <w:szCs w:val="20"/>
        </w:rPr>
        <w:tab/>
      </w:r>
      <w:r>
        <w:rPr>
          <w:sz w:val="20"/>
          <w:szCs w:val="20"/>
        </w:rPr>
        <w:tab/>
      </w:r>
      <w:r>
        <w:rPr>
          <w:sz w:val="20"/>
          <w:szCs w:val="20"/>
        </w:rPr>
        <w:tab/>
        <w:t>21</w:t>
      </w:r>
      <w:r>
        <w:rPr>
          <w:sz w:val="20"/>
          <w:szCs w:val="20"/>
        </w:rPr>
        <w:tab/>
      </w:r>
      <w:r>
        <w:rPr>
          <w:sz w:val="20"/>
          <w:szCs w:val="20"/>
        </w:rPr>
        <w:tab/>
        <w:t>17.8</w:t>
      </w:r>
      <w:r>
        <w:rPr>
          <w:sz w:val="20"/>
          <w:szCs w:val="20"/>
        </w:rPr>
        <w:tab/>
      </w:r>
      <w:r>
        <w:rPr>
          <w:sz w:val="20"/>
          <w:szCs w:val="20"/>
        </w:rPr>
        <w:tab/>
      </w:r>
    </w:p>
    <w:p w:rsidR="004911DF" w:rsidRDefault="003B3254">
      <w:pPr>
        <w:pStyle w:val="NoSpacing"/>
        <w:jc w:val="both"/>
        <w:rPr>
          <w:sz w:val="20"/>
          <w:szCs w:val="20"/>
        </w:rPr>
      </w:pPr>
      <w:r>
        <w:rPr>
          <w:sz w:val="20"/>
          <w:szCs w:val="20"/>
        </w:rPr>
        <w:t>Total</w:t>
      </w:r>
      <w:r>
        <w:rPr>
          <w:sz w:val="20"/>
          <w:szCs w:val="20"/>
        </w:rPr>
        <w:tab/>
      </w:r>
      <w:r>
        <w:rPr>
          <w:sz w:val="20"/>
          <w:szCs w:val="20"/>
        </w:rPr>
        <w:tab/>
      </w:r>
      <w:r>
        <w:rPr>
          <w:sz w:val="20"/>
          <w:szCs w:val="20"/>
        </w:rPr>
        <w:tab/>
      </w:r>
      <w:r>
        <w:rPr>
          <w:sz w:val="20"/>
          <w:szCs w:val="20"/>
        </w:rPr>
        <w:tab/>
      </w:r>
      <w:r>
        <w:rPr>
          <w:sz w:val="20"/>
          <w:szCs w:val="20"/>
        </w:rPr>
        <w:tab/>
        <w:t>118</w:t>
      </w:r>
      <w:r>
        <w:rPr>
          <w:sz w:val="20"/>
          <w:szCs w:val="20"/>
        </w:rPr>
        <w:tab/>
      </w:r>
      <w:r>
        <w:rPr>
          <w:sz w:val="20"/>
          <w:szCs w:val="20"/>
        </w:rPr>
        <w:tab/>
        <w:t>100.0</w:t>
      </w:r>
      <w:r>
        <w:rPr>
          <w:sz w:val="20"/>
          <w:szCs w:val="20"/>
        </w:rPr>
        <w:tab/>
      </w:r>
      <w:r>
        <w:rPr>
          <w:sz w:val="20"/>
          <w:szCs w:val="20"/>
        </w:rPr>
        <w:tab/>
      </w:r>
    </w:p>
    <w:p w:rsidR="004911DF" w:rsidRDefault="004911DF">
      <w:pPr>
        <w:pStyle w:val="NoSpacing"/>
        <w:jc w:val="both"/>
        <w:rPr>
          <w:sz w:val="20"/>
          <w:szCs w:val="20"/>
        </w:rPr>
      </w:pPr>
    </w:p>
    <w:p w:rsidR="004911DF" w:rsidRDefault="003B3254">
      <w:pPr>
        <w:pStyle w:val="NoSpacing"/>
        <w:jc w:val="both"/>
      </w:pPr>
      <w:r>
        <w:t>It is clear from table</w:t>
      </w:r>
      <w:r>
        <w:t xml:space="preserve"> 6 above that the most obvious reason for learning Akan, the language of the market is economic (to communicate with clients). Indeed, during the fieldwork, we were told by one long-term migrant that sometime ago, due to linguistic challenges, porters used</w:t>
      </w:r>
      <w:r>
        <w:t xml:space="preserve"> to carry goods without any verbal communication or negotiation with customers and customers used to throw few coins at porters when they got to their destinations. Dissatisfied porters resorted to insults in their first languages, most likely to the under</w:t>
      </w:r>
      <w:r>
        <w:t xml:space="preserve">standing of nobody except themselves and colleague porters standing by whilst angry customers either insulted back in their own language or beat the </w:t>
      </w:r>
      <w:proofErr w:type="spellStart"/>
      <w:r>
        <w:t>K</w:t>
      </w:r>
      <w:r>
        <w:rPr>
          <w:i/>
          <w:iCs/>
        </w:rPr>
        <w:t>ayaye</w:t>
      </w:r>
      <w:proofErr w:type="spellEnd"/>
      <w:r>
        <w:t xml:space="preserve"> up where they could. Most porters were dissatisfied with this exploitative situation and thus, decid</w:t>
      </w:r>
      <w:r>
        <w:t>ed to learn Akan, the dominant (working) language in urban Ghana. One of our respondents sums up the main reason for their learning of     Akan in the following submission (as captured by the field workers):</w:t>
      </w:r>
    </w:p>
    <w:p w:rsidR="004911DF" w:rsidRDefault="003B3254">
      <w:pPr>
        <w:pStyle w:val="NoSpacing"/>
        <w:ind w:left="720" w:firstLine="720"/>
        <w:jc w:val="both"/>
      </w:pPr>
      <w:r>
        <w:t>Sometimes when you are in a group and a customer</w:t>
      </w:r>
      <w:r>
        <w:t xml:space="preserve"> approaches</w:t>
      </w:r>
    </w:p>
    <w:p w:rsidR="004911DF" w:rsidRDefault="003B3254">
      <w:pPr>
        <w:pStyle w:val="NoSpacing"/>
        <w:jc w:val="both"/>
      </w:pPr>
      <w:r>
        <w:t xml:space="preserve"> </w:t>
      </w:r>
      <w:r>
        <w:tab/>
      </w:r>
      <w:r>
        <w:tab/>
        <w:t xml:space="preserve">and speaks Twi anyone who responds is the one who is hired. </w:t>
      </w:r>
    </w:p>
    <w:p w:rsidR="004911DF" w:rsidRDefault="003B3254">
      <w:pPr>
        <w:pStyle w:val="NoSpacing"/>
        <w:ind w:left="720" w:firstLine="720"/>
        <w:jc w:val="both"/>
      </w:pPr>
      <w:r>
        <w:t xml:space="preserve">So you can be in a group of fellow porters and only those </w:t>
      </w:r>
    </w:p>
    <w:p w:rsidR="004911DF" w:rsidRDefault="003B3254">
      <w:pPr>
        <w:pStyle w:val="NoSpacing"/>
        <w:ind w:left="720" w:firstLine="720"/>
        <w:jc w:val="both"/>
      </w:pPr>
      <w:r>
        <w:t xml:space="preserve">who can speak little [minimal] Twi get work always and this </w:t>
      </w:r>
    </w:p>
    <w:p w:rsidR="004911DF" w:rsidRDefault="003B3254">
      <w:pPr>
        <w:pStyle w:val="NoSpacing"/>
        <w:ind w:left="720" w:firstLine="720"/>
        <w:jc w:val="both"/>
      </w:pPr>
      <w:r>
        <w:t>makes me think a lot.</w:t>
      </w: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rPr>
        <w:t>6. Conclusion</w:t>
      </w:r>
    </w:p>
    <w:p w:rsidR="004911DF" w:rsidRDefault="003B3254">
      <w:pPr>
        <w:pStyle w:val="NoSpacing"/>
        <w:jc w:val="both"/>
      </w:pPr>
      <w:r>
        <w:t xml:space="preserve">     In this paper, we have discussed the language-migration nexus among female migrants (mainly from northern Ghana) in three urban markets in Accra. The study has revealed that an overwhelming majority of the migrants are from the three northern regions </w:t>
      </w:r>
      <w:r>
        <w:t>of Ghana, namely, Northern Region, Upper East Region and Upper West Region. Again, we found out that majority of these migrants are between the ages of 14 and 29 years, and that in spite of the Free, Compulsory, Universal Basic Education (from primary to J</w:t>
      </w:r>
      <w:r>
        <w:t>unior High School) policy practiced in the country, 93.9% of these migrants have either had no formal education at all or at best, have had it up to primary level. The migrants are seasonal migrants, and have come to Accra from diverse ethnolinguistic back</w:t>
      </w:r>
      <w:r>
        <w:t>grounds. As anticipated, many of these migrants have linguistic challenges. But more interestingly, the study has revealed that while majority of these migrants have linguistic challenges in the host communities (in the markets) because the dom</w:t>
      </w:r>
      <w:r>
        <w:lastRenderedPageBreak/>
        <w:t>inant langua</w:t>
      </w:r>
      <w:r>
        <w:t xml:space="preserve">ge of the market was not known to them prior to their migration, they have developed several strategies to cope with this challenge. The commonest of these coping strategies was incipient bilingualism in their L1s and Akan, where they learn key vocabulary </w:t>
      </w:r>
      <w:r>
        <w:t xml:space="preserve">that is needed to do business in the language. </w:t>
      </w:r>
    </w:p>
    <w:p w:rsidR="004911DF" w:rsidRDefault="003B3254">
      <w:pPr>
        <w:pStyle w:val="NoSpacing"/>
        <w:jc w:val="both"/>
      </w:pPr>
      <w:r>
        <w:t xml:space="preserve">     The main motivation for becoming incipient bilinguals, the data revealed, is economic.</w:t>
      </w:r>
      <w:r>
        <w:rPr>
          <w:i/>
          <w:iCs/>
        </w:rPr>
        <w:t xml:space="preserve"> </w:t>
      </w:r>
      <w:r>
        <w:t xml:space="preserve">According to Choi (2014:123), immigrants would normally pursue social mobility or assimilate into host societies by </w:t>
      </w:r>
      <w:r>
        <w:t xml:space="preserve">means of educational achievement but in </w:t>
      </w:r>
      <w:r>
        <w:rPr>
          <w:rFonts w:hAnsi="Times New Roman"/>
        </w:rPr>
        <w:t>“</w:t>
      </w:r>
      <w:r>
        <w:t>order to effectuate such upward social mobility into host society, second language acquisition is usually necessary</w:t>
      </w:r>
      <w:r>
        <w:rPr>
          <w:rFonts w:hAnsi="Times New Roman"/>
        </w:rPr>
        <w:t>”</w:t>
      </w:r>
      <w:r>
        <w:t>. Nevertheless, questions regarding first language retention and second language acquisition and th</w:t>
      </w:r>
      <w:r>
        <w:t>e extent to which migrants achieve either, is contingent upon whether or not migrants intend to make the place of destination their home. Since majority of our respondents are seasonal, and therefore temporary migrants this is expected - their linguistic h</w:t>
      </w:r>
      <w:r>
        <w:t>abits in the host communities are consistent with their status as temporary migrants. In other words, it is this seasonal/temporary nature of their stay in the host communities which explains their attitude to second language which they speak only at work.</w:t>
      </w:r>
      <w:r>
        <w:t xml:space="preserve"> Outside of work, the migrants form linguistic islands and communicate with colleague migrants in their L1s. Indeed, within the first few months of arrival in the markets, we were told, first time migrants walk with seasonal migrants or those who have been</w:t>
      </w:r>
      <w:r>
        <w:t xml:space="preserve"> there for long time not only to understand the working environment in terms of the names of places such as certain popular buildings, government establishments, restaurants and drinking spots, and lorry stations, but also to know the pricing of goods, to </w:t>
      </w:r>
      <w:r>
        <w:t>pick essential words, phrases and sentences in preparation towards engaging in independent head porterage. Most, if not all these female head porters depend on other porters upon their first arrival for assistance in language and other matters such as fina</w:t>
      </w:r>
      <w:r>
        <w:t>ncial, accommodation and company during the day.</w:t>
      </w:r>
    </w:p>
    <w:p w:rsidR="004911DF" w:rsidRDefault="004911DF">
      <w:pPr>
        <w:pStyle w:val="NoSpacing"/>
        <w:jc w:val="both"/>
      </w:pPr>
    </w:p>
    <w:p w:rsidR="004911DF" w:rsidRDefault="004911DF">
      <w:pPr>
        <w:pStyle w:val="NoSpacing"/>
        <w:jc w:val="both"/>
      </w:pPr>
    </w:p>
    <w:p w:rsidR="004911DF" w:rsidRDefault="003B3254">
      <w:pPr>
        <w:pStyle w:val="NoSpacing"/>
        <w:jc w:val="both"/>
        <w:rPr>
          <w:rFonts w:ascii="Times New Roman Bold" w:eastAsia="Times New Roman Bold" w:hAnsi="Times New Roman Bold" w:cs="Times New Roman Bold"/>
        </w:rPr>
      </w:pPr>
      <w:r>
        <w:rPr>
          <w:rFonts w:ascii="Times New Roman Bold"/>
        </w:rPr>
        <w:t>References</w:t>
      </w:r>
    </w:p>
    <w:p w:rsidR="004911DF" w:rsidRDefault="003B3254">
      <w:pPr>
        <w:pStyle w:val="NoSpacing"/>
        <w:jc w:val="both"/>
      </w:pPr>
      <w:proofErr w:type="spellStart"/>
      <w:r>
        <w:rPr>
          <w:color w:val="1A1A1A"/>
          <w:u w:color="1A1A1A"/>
        </w:rPr>
        <w:t>Adsera</w:t>
      </w:r>
      <w:proofErr w:type="spellEnd"/>
      <w:r>
        <w:rPr>
          <w:color w:val="1A1A1A"/>
          <w:u w:color="1A1A1A"/>
        </w:rPr>
        <w:t xml:space="preserve">, Alicia, and </w:t>
      </w:r>
      <w:proofErr w:type="spellStart"/>
      <w:r>
        <w:rPr>
          <w:color w:val="1A1A1A"/>
          <w:u w:color="1A1A1A"/>
        </w:rPr>
        <w:t>Mariola</w:t>
      </w:r>
      <w:proofErr w:type="spellEnd"/>
      <w:r>
        <w:rPr>
          <w:color w:val="1A1A1A"/>
          <w:u w:color="1A1A1A"/>
        </w:rPr>
        <w:t xml:space="preserve"> </w:t>
      </w:r>
      <w:proofErr w:type="spellStart"/>
      <w:r>
        <w:rPr>
          <w:color w:val="1A1A1A"/>
          <w:u w:color="1A1A1A"/>
        </w:rPr>
        <w:t>Pytlikova</w:t>
      </w:r>
      <w:proofErr w:type="spellEnd"/>
      <w:r>
        <w:t xml:space="preserve">, 2015. The role of language in shaping international </w:t>
      </w:r>
    </w:p>
    <w:p w:rsidR="004911DF" w:rsidRDefault="003B3254">
      <w:pPr>
        <w:pStyle w:val="NoSpacing"/>
        <w:ind w:firstLine="720"/>
        <w:jc w:val="both"/>
      </w:pPr>
      <w:r>
        <w:t xml:space="preserve">migration, </w:t>
      </w:r>
      <w:r>
        <w:rPr>
          <w:i/>
          <w:iCs/>
        </w:rPr>
        <w:t>Economic Journal,</w:t>
      </w:r>
      <w:r>
        <w:t xml:space="preserve"> 125(586): F49</w:t>
      </w:r>
      <w:r>
        <w:rPr>
          <w:rFonts w:hAnsi="Times New Roman"/>
        </w:rPr>
        <w:t>–</w:t>
      </w:r>
      <w:r>
        <w:t>F81.</w:t>
      </w:r>
    </w:p>
    <w:p w:rsidR="004911DF" w:rsidRDefault="003B3254">
      <w:pPr>
        <w:pStyle w:val="NoSpacing"/>
        <w:jc w:val="both"/>
        <w:rPr>
          <w:i/>
          <w:iCs/>
          <w:u w:color="58595B"/>
          <w:shd w:val="clear" w:color="auto" w:fill="FFFFFF"/>
        </w:rPr>
      </w:pPr>
      <w:r>
        <w:rPr>
          <w:u w:color="58595B"/>
          <w:shd w:val="clear" w:color="auto" w:fill="FFFFFF"/>
        </w:rPr>
        <w:t>American Speech-Language-Hearing Association, 2004.</w:t>
      </w:r>
      <w:r>
        <w:rPr>
          <w:rFonts w:hAnsi="Times New Roman"/>
          <w:u w:color="58595B"/>
          <w:shd w:val="clear" w:color="auto" w:fill="FFFFFF"/>
        </w:rPr>
        <w:t> </w:t>
      </w:r>
      <w:r>
        <w:rPr>
          <w:i/>
          <w:iCs/>
          <w:u w:color="58595B"/>
          <w:shd w:val="clear" w:color="auto" w:fill="FFFFFF"/>
        </w:rPr>
        <w:t>Kn</w:t>
      </w:r>
      <w:r>
        <w:rPr>
          <w:i/>
          <w:iCs/>
          <w:u w:color="58595B"/>
          <w:shd w:val="clear" w:color="auto" w:fill="FFFFFF"/>
        </w:rPr>
        <w:t xml:space="preserve">owledge and Skills Needed by </w:t>
      </w:r>
    </w:p>
    <w:p w:rsidR="004911DF" w:rsidRDefault="003B3254">
      <w:pPr>
        <w:pStyle w:val="NoSpacing"/>
        <w:jc w:val="both"/>
        <w:rPr>
          <w:i/>
          <w:iCs/>
          <w:u w:color="58595B"/>
          <w:shd w:val="clear" w:color="auto" w:fill="FFFFFF"/>
        </w:rPr>
      </w:pPr>
      <w:r>
        <w:rPr>
          <w:i/>
          <w:iCs/>
          <w:u w:color="58595B"/>
          <w:shd w:val="clear" w:color="auto" w:fill="FFFFFF"/>
        </w:rPr>
        <w:tab/>
        <w:t xml:space="preserve">Speech-Language Pathologists and Audiologists to Provide Culturally and </w:t>
      </w:r>
      <w:proofErr w:type="spellStart"/>
      <w:r>
        <w:rPr>
          <w:i/>
          <w:iCs/>
          <w:u w:color="58595B"/>
          <w:shd w:val="clear" w:color="auto" w:fill="FFFFFF"/>
        </w:rPr>
        <w:t>Linguisti</w:t>
      </w:r>
      <w:proofErr w:type="spellEnd"/>
    </w:p>
    <w:p w:rsidR="004911DF" w:rsidRDefault="003B3254">
      <w:pPr>
        <w:pStyle w:val="NoSpacing"/>
        <w:ind w:left="720"/>
        <w:jc w:val="both"/>
        <w:rPr>
          <w:u w:color="58595B"/>
          <w:shd w:val="clear" w:color="auto" w:fill="FFFFFF"/>
        </w:rPr>
      </w:pPr>
      <w:proofErr w:type="spellStart"/>
      <w:r>
        <w:rPr>
          <w:i/>
          <w:iCs/>
          <w:u w:color="58595B"/>
          <w:shd w:val="clear" w:color="auto" w:fill="FFFFFF"/>
        </w:rPr>
        <w:t>cally</w:t>
      </w:r>
      <w:proofErr w:type="spellEnd"/>
      <w:r>
        <w:rPr>
          <w:i/>
          <w:iCs/>
          <w:u w:color="58595B"/>
          <w:shd w:val="clear" w:color="auto" w:fill="FFFFFF"/>
        </w:rPr>
        <w:t xml:space="preserve"> Appropriate Services</w:t>
      </w:r>
      <w:r>
        <w:rPr>
          <w:rFonts w:hAnsi="Times New Roman"/>
          <w:u w:color="58595B"/>
          <w:shd w:val="clear" w:color="auto" w:fill="FFFFFF"/>
        </w:rPr>
        <w:t> </w:t>
      </w:r>
      <w:r>
        <w:rPr>
          <w:u w:color="58595B"/>
          <w:shd w:val="clear" w:color="auto" w:fill="FFFFFF"/>
        </w:rPr>
        <w:t xml:space="preserve">[Knowledge and Skills]. </w:t>
      </w:r>
      <w:proofErr w:type="spellStart"/>
      <w:r w:rsidRPr="00C155F7">
        <w:rPr>
          <w:u w:color="58595B"/>
          <w:shd w:val="clear" w:color="auto" w:fill="FFFFFF"/>
          <w:lang w:val="fr-FR"/>
        </w:rPr>
        <w:t>Available</w:t>
      </w:r>
      <w:proofErr w:type="spellEnd"/>
      <w:r w:rsidRPr="00C155F7">
        <w:rPr>
          <w:u w:color="58595B"/>
          <w:shd w:val="clear" w:color="auto" w:fill="FFFFFF"/>
          <w:lang w:val="fr-FR"/>
        </w:rPr>
        <w:t xml:space="preserve"> </w:t>
      </w:r>
      <w:proofErr w:type="spellStart"/>
      <w:r w:rsidRPr="00C155F7">
        <w:rPr>
          <w:shd w:val="clear" w:color="auto" w:fill="FFFFFF"/>
          <w:lang w:val="fr-FR"/>
        </w:rPr>
        <w:t>from</w:t>
      </w:r>
      <w:proofErr w:type="spellEnd"/>
      <w:r w:rsidRPr="00C155F7">
        <w:rPr>
          <w:rFonts w:hAnsi="Times New Roman"/>
          <w:shd w:val="clear" w:color="auto" w:fill="FFFFFF"/>
          <w:lang w:val="fr-FR"/>
        </w:rPr>
        <w:t> </w:t>
      </w:r>
      <w:hyperlink r:id="rId10" w:history="1">
        <w:r w:rsidRPr="00C155F7">
          <w:rPr>
            <w:rStyle w:val="Hyperlink0"/>
            <w:lang w:val="fr-FR"/>
          </w:rPr>
          <w:t>www.asha.org/policy</w:t>
        </w:r>
      </w:hyperlink>
      <w:r w:rsidRPr="00C155F7">
        <w:rPr>
          <w:shd w:val="clear" w:color="auto" w:fill="FFFFFF"/>
          <w:lang w:val="fr-FR"/>
        </w:rPr>
        <w:t xml:space="preserve">. </w:t>
      </w:r>
      <w:r>
        <w:rPr>
          <w:shd w:val="clear" w:color="auto" w:fill="FFFFFF"/>
        </w:rPr>
        <w:t xml:space="preserve">SLA (2016).  </w:t>
      </w:r>
      <w:hyperlink r:id="rId11" w:history="1">
        <w:r>
          <w:rPr>
            <w:rStyle w:val="Hyperlink1"/>
          </w:rPr>
          <w:t>http://www.linguisticsociety.org/resource/multilingualism</w:t>
        </w:r>
      </w:hyperlink>
      <w:r>
        <w:rPr>
          <w:u w:color="58595B"/>
          <w:shd w:val="clear" w:color="auto" w:fill="FFFFFF"/>
        </w:rPr>
        <w:t>. Retrieved on 20</w:t>
      </w:r>
      <w:r>
        <w:rPr>
          <w:u w:color="58595B"/>
          <w:shd w:val="clear" w:color="auto" w:fill="FFFFFF"/>
          <w:vertAlign w:val="superscript"/>
        </w:rPr>
        <w:t>th</w:t>
      </w:r>
      <w:r>
        <w:rPr>
          <w:u w:color="58595B"/>
          <w:shd w:val="clear" w:color="auto" w:fill="FFFFFF"/>
        </w:rPr>
        <w:tab/>
        <w:t>January 2016.</w:t>
      </w:r>
    </w:p>
    <w:p w:rsidR="004911DF" w:rsidRDefault="00B058BE" w:rsidP="00B058BE">
      <w:pPr>
        <w:pStyle w:val="NoSpacing"/>
        <w:jc w:val="both"/>
        <w:rPr>
          <w:color w:val="222222"/>
          <w:u w:color="222222"/>
          <w:shd w:val="clear" w:color="auto" w:fill="FFFFFF"/>
        </w:rPr>
      </w:pPr>
      <w:r>
        <w:rPr>
          <w:color w:val="222222"/>
          <w:u w:color="222222"/>
          <w:shd w:val="clear" w:color="auto" w:fill="FFFFFF"/>
        </w:rPr>
        <w:t>Author</w:t>
      </w:r>
      <w:r w:rsidR="003B3254">
        <w:rPr>
          <w:color w:val="222222"/>
          <w:u w:color="222222"/>
          <w:shd w:val="clear" w:color="auto" w:fill="FFFFFF"/>
        </w:rPr>
        <w:t>, 2011.</w:t>
      </w:r>
      <w:r w:rsidR="003B3254">
        <w:rPr>
          <w:rFonts w:hAnsi="Times New Roman"/>
          <w:color w:val="222222"/>
          <w:u w:color="222222"/>
          <w:shd w:val="clear" w:color="auto" w:fill="FFFFFF"/>
        </w:rPr>
        <w:t> </w:t>
      </w:r>
    </w:p>
    <w:p w:rsidR="004911DF" w:rsidRDefault="003B3254">
      <w:pPr>
        <w:pStyle w:val="NoSpacing"/>
        <w:jc w:val="both"/>
      </w:pPr>
      <w:r>
        <w:t>B</w:t>
      </w:r>
      <w:r>
        <w:t xml:space="preserve">aker, Colin, 1993. </w:t>
      </w:r>
      <w:r>
        <w:rPr>
          <w:i/>
          <w:iCs/>
        </w:rPr>
        <w:t>Foundations of Bilingual Education and Bilingualism</w:t>
      </w:r>
      <w:r>
        <w:t xml:space="preserve">. </w:t>
      </w:r>
      <w:proofErr w:type="spellStart"/>
      <w:r>
        <w:t>Clevedon</w:t>
      </w:r>
      <w:proofErr w:type="spellEnd"/>
      <w:r>
        <w:t>:</w:t>
      </w:r>
    </w:p>
    <w:p w:rsidR="004911DF" w:rsidRDefault="003B3254">
      <w:pPr>
        <w:pStyle w:val="NoSpacing"/>
        <w:ind w:firstLine="720"/>
        <w:jc w:val="both"/>
      </w:pPr>
      <w:r>
        <w:t xml:space="preserve"> Multilingual Matters.</w:t>
      </w:r>
    </w:p>
    <w:p w:rsidR="004911DF" w:rsidRDefault="003B3254">
      <w:pPr>
        <w:pStyle w:val="NoSpacing"/>
        <w:jc w:val="both"/>
      </w:pPr>
      <w:proofErr w:type="spellStart"/>
      <w:r>
        <w:rPr>
          <w:color w:val="1A1A1A"/>
          <w:u w:color="1A1A1A"/>
        </w:rPr>
        <w:t>Belot</w:t>
      </w:r>
      <w:proofErr w:type="spellEnd"/>
      <w:r>
        <w:rPr>
          <w:color w:val="1A1A1A"/>
          <w:u w:color="1A1A1A"/>
        </w:rPr>
        <w:t xml:space="preserve">, </w:t>
      </w:r>
      <w:proofErr w:type="spellStart"/>
      <w:r>
        <w:rPr>
          <w:color w:val="1A1A1A"/>
          <w:u w:color="1A1A1A"/>
        </w:rPr>
        <w:t>Mich</w:t>
      </w:r>
      <w:r>
        <w:rPr>
          <w:rFonts w:hAnsi="Times New Roman"/>
          <w:color w:val="1A1A1A"/>
          <w:u w:color="1A1A1A"/>
        </w:rPr>
        <w:t>è</w:t>
      </w:r>
      <w:r>
        <w:rPr>
          <w:color w:val="1A1A1A"/>
          <w:u w:color="1A1A1A"/>
        </w:rPr>
        <w:t>le</w:t>
      </w:r>
      <w:proofErr w:type="spellEnd"/>
      <w:r>
        <w:rPr>
          <w:color w:val="1A1A1A"/>
          <w:u w:color="1A1A1A"/>
        </w:rPr>
        <w:t xml:space="preserve">, and </w:t>
      </w:r>
      <w:proofErr w:type="spellStart"/>
      <w:r>
        <w:rPr>
          <w:color w:val="1A1A1A"/>
          <w:u w:color="1A1A1A"/>
        </w:rPr>
        <w:t>Sjef</w:t>
      </w:r>
      <w:proofErr w:type="spellEnd"/>
      <w:r>
        <w:rPr>
          <w:color w:val="1A1A1A"/>
          <w:u w:color="1A1A1A"/>
        </w:rPr>
        <w:t xml:space="preserve"> </w:t>
      </w:r>
      <w:proofErr w:type="spellStart"/>
      <w:r>
        <w:rPr>
          <w:color w:val="1A1A1A"/>
          <w:u w:color="1A1A1A"/>
        </w:rPr>
        <w:t>Ederveen</w:t>
      </w:r>
      <w:proofErr w:type="spellEnd"/>
      <w:r>
        <w:rPr>
          <w:lang w:val="nl-NL"/>
        </w:rPr>
        <w:t xml:space="preserve">, 2012. </w:t>
      </w:r>
      <w:r>
        <w:t>Cultural and institutional barriers in migra</w:t>
      </w:r>
      <w:r>
        <w:t xml:space="preserve">tion </w:t>
      </w:r>
    </w:p>
    <w:p w:rsidR="004911DF" w:rsidRDefault="003B3254">
      <w:pPr>
        <w:pStyle w:val="NoSpacing"/>
        <w:ind w:firstLine="720"/>
        <w:jc w:val="both"/>
      </w:pPr>
      <w:r>
        <w:t xml:space="preserve">between OECD countries, </w:t>
      </w:r>
      <w:r>
        <w:rPr>
          <w:i/>
          <w:iCs/>
        </w:rPr>
        <w:t>Journal of Population Economics</w:t>
      </w:r>
      <w:r>
        <w:t>, 25.3: 1077</w:t>
      </w:r>
      <w:r>
        <w:rPr>
          <w:rFonts w:hAnsi="Times New Roman"/>
        </w:rPr>
        <w:t>–</w:t>
      </w:r>
      <w:r>
        <w:t>1105.</w:t>
      </w:r>
    </w:p>
    <w:p w:rsidR="004911DF" w:rsidRDefault="003B3254">
      <w:pPr>
        <w:pStyle w:val="NoSpacing"/>
        <w:jc w:val="both"/>
      </w:pPr>
      <w:proofErr w:type="spellStart"/>
      <w:r>
        <w:t>Belot</w:t>
      </w:r>
      <w:proofErr w:type="spellEnd"/>
      <w:r>
        <w:t xml:space="preserve">, </w:t>
      </w:r>
      <w:proofErr w:type="spellStart"/>
      <w:r>
        <w:rPr>
          <w:color w:val="1A1A1A"/>
          <w:u w:color="1A1A1A"/>
        </w:rPr>
        <w:t>Mich</w:t>
      </w:r>
      <w:r>
        <w:rPr>
          <w:rFonts w:hAnsi="Times New Roman"/>
          <w:color w:val="1A1A1A"/>
          <w:u w:color="1A1A1A"/>
        </w:rPr>
        <w:t>è</w:t>
      </w:r>
      <w:r>
        <w:rPr>
          <w:color w:val="1A1A1A"/>
          <w:u w:color="1A1A1A"/>
        </w:rPr>
        <w:t>le</w:t>
      </w:r>
      <w:proofErr w:type="spellEnd"/>
      <w:r>
        <w:t xml:space="preserve">, and T J Hatton, 2012. Skill selection and immigration in OECD countries, </w:t>
      </w:r>
    </w:p>
    <w:p w:rsidR="004911DF" w:rsidRDefault="003B3254">
      <w:pPr>
        <w:pStyle w:val="NoSpacing"/>
        <w:ind w:firstLine="720"/>
        <w:jc w:val="both"/>
      </w:pPr>
      <w:r>
        <w:rPr>
          <w:i/>
          <w:iCs/>
        </w:rPr>
        <w:t>Scandinavian Journal of Economics</w:t>
      </w:r>
      <w:r>
        <w:t>, 114.4: 681</w:t>
      </w:r>
      <w:r>
        <w:rPr>
          <w:rFonts w:hAnsi="Times New Roman"/>
        </w:rPr>
        <w:t>–</w:t>
      </w:r>
      <w:r>
        <w:t>730.</w:t>
      </w:r>
    </w:p>
    <w:p w:rsidR="004911DF" w:rsidRDefault="003B3254">
      <w:pPr>
        <w:pStyle w:val="NoSpacing"/>
        <w:jc w:val="both"/>
      </w:pPr>
      <w:proofErr w:type="spellStart"/>
      <w:r>
        <w:rPr>
          <w:color w:val="1A1A1A"/>
          <w:u w:color="1A1A1A"/>
        </w:rPr>
        <w:t>Bleakley</w:t>
      </w:r>
      <w:proofErr w:type="spellEnd"/>
      <w:r>
        <w:rPr>
          <w:color w:val="1A1A1A"/>
          <w:u w:color="1A1A1A"/>
        </w:rPr>
        <w:t>, Hoyt, and Aimee Chin</w:t>
      </w:r>
      <w:r>
        <w:t xml:space="preserve">, 2004. Language skills and earnings: Evidence from </w:t>
      </w:r>
    </w:p>
    <w:p w:rsidR="004911DF" w:rsidRDefault="003B3254">
      <w:pPr>
        <w:pStyle w:val="NoSpacing"/>
        <w:ind w:firstLine="720"/>
        <w:jc w:val="both"/>
      </w:pPr>
      <w:r>
        <w:t xml:space="preserve">childhood immigrants, </w:t>
      </w:r>
      <w:r>
        <w:rPr>
          <w:i/>
          <w:iCs/>
        </w:rPr>
        <w:t>Review of Economics and Statistics</w:t>
      </w:r>
      <w:r>
        <w:t>, 84.2: 481</w:t>
      </w:r>
      <w:r>
        <w:rPr>
          <w:rFonts w:hAnsi="Times New Roman"/>
        </w:rPr>
        <w:t>–</w:t>
      </w:r>
      <w:r>
        <w:t>496.</w:t>
      </w:r>
    </w:p>
    <w:p w:rsidR="004911DF" w:rsidRDefault="003B3254">
      <w:pPr>
        <w:pStyle w:val="NoSpacing"/>
        <w:jc w:val="both"/>
      </w:pPr>
      <w:r>
        <w:t xml:space="preserve">Bloomfield, Leonard, 1933. </w:t>
      </w:r>
      <w:r>
        <w:rPr>
          <w:i/>
          <w:iCs/>
        </w:rPr>
        <w:t>Language</w:t>
      </w:r>
      <w:r>
        <w:t>. New York: Henry Holt.</w:t>
      </w:r>
    </w:p>
    <w:p w:rsidR="004911DF" w:rsidRDefault="003B3254">
      <w:pPr>
        <w:pStyle w:val="NoSpacing"/>
        <w:jc w:val="both"/>
        <w:rPr>
          <w:color w:val="1A1A1A"/>
          <w:sz w:val="26"/>
          <w:szCs w:val="26"/>
          <w:u w:color="1A1A1A"/>
        </w:rPr>
      </w:pPr>
      <w:proofErr w:type="spellStart"/>
      <w:r>
        <w:rPr>
          <w:color w:val="1A1A1A"/>
          <w:u w:color="1A1A1A"/>
        </w:rPr>
        <w:t>Bourhis</w:t>
      </w:r>
      <w:proofErr w:type="spellEnd"/>
      <w:r>
        <w:rPr>
          <w:color w:val="1A1A1A"/>
          <w:u w:color="1A1A1A"/>
        </w:rPr>
        <w:t>, Richard Y. and Giles, Howard, 1977</w:t>
      </w:r>
      <w:r>
        <w:rPr>
          <w:color w:val="1A1A1A"/>
          <w:sz w:val="26"/>
          <w:szCs w:val="26"/>
          <w:u w:color="1A1A1A"/>
        </w:rPr>
        <w:t>. The language of intergroup</w:t>
      </w:r>
      <w:r>
        <w:rPr>
          <w:color w:val="1A1A1A"/>
          <w:sz w:val="26"/>
          <w:szCs w:val="26"/>
          <w:u w:color="1A1A1A"/>
        </w:rPr>
        <w:t xml:space="preserve"> </w:t>
      </w:r>
    </w:p>
    <w:p w:rsidR="004911DF" w:rsidRDefault="003B3254">
      <w:pPr>
        <w:pStyle w:val="NoSpacing"/>
        <w:ind w:firstLine="720"/>
        <w:jc w:val="both"/>
        <w:rPr>
          <w:color w:val="1A1A1A"/>
          <w:sz w:val="26"/>
          <w:szCs w:val="26"/>
          <w:u w:color="1A1A1A"/>
        </w:rPr>
      </w:pPr>
      <w:r>
        <w:rPr>
          <w:color w:val="1A1A1A"/>
          <w:sz w:val="26"/>
          <w:szCs w:val="26"/>
          <w:u w:color="1A1A1A"/>
        </w:rPr>
        <w:t xml:space="preserve">distinctiveness. </w:t>
      </w:r>
      <w:r>
        <w:rPr>
          <w:i/>
          <w:iCs/>
          <w:color w:val="1A1A1A"/>
          <w:sz w:val="26"/>
          <w:szCs w:val="26"/>
          <w:u w:color="1A1A1A"/>
        </w:rPr>
        <w:t>Language, ethnicity, and intergroup relations</w:t>
      </w:r>
      <w:r>
        <w:rPr>
          <w:color w:val="1A1A1A"/>
          <w:sz w:val="26"/>
          <w:szCs w:val="26"/>
          <w:u w:color="1A1A1A"/>
        </w:rPr>
        <w:t>, pp.119-36.</w:t>
      </w:r>
    </w:p>
    <w:p w:rsidR="004911DF" w:rsidRDefault="003B3254">
      <w:pPr>
        <w:pStyle w:val="NoSpacing"/>
        <w:jc w:val="both"/>
      </w:pPr>
      <w:proofErr w:type="spellStart"/>
      <w:r>
        <w:t>Chiswick</w:t>
      </w:r>
      <w:proofErr w:type="spellEnd"/>
      <w:r>
        <w:t xml:space="preserve">, Barry R, and Paul W Miller, 2014. International migration and the economics of </w:t>
      </w:r>
    </w:p>
    <w:p w:rsidR="004911DF" w:rsidRDefault="003B3254">
      <w:pPr>
        <w:pStyle w:val="NoSpacing"/>
        <w:ind w:firstLine="720"/>
        <w:jc w:val="both"/>
        <w:rPr>
          <w:i/>
          <w:iCs/>
        </w:rPr>
      </w:pPr>
      <w:r>
        <w:t xml:space="preserve">language, in Barry R </w:t>
      </w:r>
      <w:proofErr w:type="spellStart"/>
      <w:r>
        <w:t>Chiswick</w:t>
      </w:r>
      <w:proofErr w:type="spellEnd"/>
      <w:r>
        <w:t xml:space="preserve"> and Paul W Miller (</w:t>
      </w:r>
      <w:proofErr w:type="spellStart"/>
      <w:r>
        <w:t>eds</w:t>
      </w:r>
      <w:proofErr w:type="spellEnd"/>
      <w:r>
        <w:t xml:space="preserve">), </w:t>
      </w:r>
      <w:r>
        <w:rPr>
          <w:i/>
          <w:iCs/>
        </w:rPr>
        <w:t xml:space="preserve">Handbook on the Economics  </w:t>
      </w:r>
    </w:p>
    <w:p w:rsidR="004911DF" w:rsidRDefault="003B3254">
      <w:pPr>
        <w:pStyle w:val="NoSpacing"/>
        <w:ind w:firstLine="720"/>
        <w:jc w:val="both"/>
      </w:pPr>
      <w:r>
        <w:rPr>
          <w:i/>
          <w:iCs/>
        </w:rPr>
        <w:t>of  In</w:t>
      </w:r>
      <w:r>
        <w:rPr>
          <w:i/>
          <w:iCs/>
        </w:rPr>
        <w:t>ternational Migration</w:t>
      </w:r>
      <w:r>
        <w:t>, Amsterdam, Netherlands: Elsevier, 2014: 211</w:t>
      </w:r>
      <w:r>
        <w:rPr>
          <w:rFonts w:hAnsi="Times New Roman"/>
        </w:rPr>
        <w:t>–</w:t>
      </w:r>
      <w:r>
        <w:t>270.</w:t>
      </w:r>
    </w:p>
    <w:p w:rsidR="004911DF" w:rsidRDefault="003B3254">
      <w:pPr>
        <w:pStyle w:val="BodyA"/>
        <w:spacing w:before="100" w:after="100"/>
      </w:pPr>
      <w:r>
        <w:t xml:space="preserve">Cummins, Jim, 1984. Wanted: A theoretical framework for relating language </w:t>
      </w:r>
    </w:p>
    <w:p w:rsidR="004911DF" w:rsidRDefault="003B3254">
      <w:pPr>
        <w:pStyle w:val="BodyA"/>
        <w:spacing w:before="100" w:after="100"/>
      </w:pPr>
      <w:r>
        <w:lastRenderedPageBreak/>
        <w:tab/>
        <w:t xml:space="preserve">     proficiency to academic achievement among bilingual students. In C. Rivera </w:t>
      </w:r>
    </w:p>
    <w:p w:rsidR="004911DF" w:rsidRDefault="003B3254">
      <w:pPr>
        <w:pStyle w:val="BodyA"/>
        <w:spacing w:before="100" w:after="100"/>
      </w:pPr>
      <w:r>
        <w:tab/>
        <w:t xml:space="preserve">     (Ed.), </w:t>
      </w:r>
      <w:r>
        <w:rPr>
          <w:i/>
          <w:iCs/>
        </w:rPr>
        <w:t>Language Profi</w:t>
      </w:r>
      <w:r>
        <w:rPr>
          <w:i/>
          <w:iCs/>
        </w:rPr>
        <w:t>ciency and Academic Achievement</w:t>
      </w:r>
      <w:r>
        <w:t>. Pp. 3-20.</w:t>
      </w:r>
    </w:p>
    <w:p w:rsidR="004911DF" w:rsidRDefault="003B3254">
      <w:pPr>
        <w:pStyle w:val="BodyA"/>
        <w:spacing w:before="100" w:after="100"/>
        <w:rPr>
          <w:i/>
          <w:iCs/>
        </w:rPr>
      </w:pPr>
      <w:r>
        <w:t xml:space="preserve">Diebold, A. Richard, 1964. Incipient Bilingualism. In D. </w:t>
      </w:r>
      <w:proofErr w:type="spellStart"/>
      <w:r>
        <w:t>Hymes</w:t>
      </w:r>
      <w:proofErr w:type="spellEnd"/>
      <w:r>
        <w:t xml:space="preserve"> (Ed.), </w:t>
      </w:r>
      <w:r>
        <w:rPr>
          <w:i/>
          <w:iCs/>
        </w:rPr>
        <w:t xml:space="preserve">Languages in </w:t>
      </w:r>
    </w:p>
    <w:p w:rsidR="004911DF" w:rsidRDefault="003B3254">
      <w:pPr>
        <w:pStyle w:val="BodyA"/>
        <w:spacing w:before="100" w:after="100"/>
      </w:pPr>
      <w:r>
        <w:rPr>
          <w:i/>
          <w:iCs/>
        </w:rPr>
        <w:tab/>
        <w:t xml:space="preserve">   Culture and Society</w:t>
      </w:r>
      <w:r>
        <w:t>. Pp. 495-511. New York: Harper and Row.</w:t>
      </w:r>
    </w:p>
    <w:p w:rsidR="004911DF" w:rsidRDefault="003B3254">
      <w:pPr>
        <w:pStyle w:val="BodyA"/>
        <w:spacing w:before="100" w:after="100"/>
      </w:pPr>
      <w:proofErr w:type="spellStart"/>
      <w:r>
        <w:rPr>
          <w:color w:val="1A1A1A"/>
          <w:u w:color="1A1A1A"/>
        </w:rPr>
        <w:t>Dustmann</w:t>
      </w:r>
      <w:proofErr w:type="spellEnd"/>
      <w:r>
        <w:rPr>
          <w:color w:val="1A1A1A"/>
          <w:u w:color="1A1A1A"/>
        </w:rPr>
        <w:t xml:space="preserve">, Christian, and Francesca </w:t>
      </w:r>
      <w:proofErr w:type="spellStart"/>
      <w:r>
        <w:rPr>
          <w:color w:val="1A1A1A"/>
          <w:u w:color="1A1A1A"/>
        </w:rPr>
        <w:t>Fabbri</w:t>
      </w:r>
      <w:proofErr w:type="spellEnd"/>
      <w:r>
        <w:t>, 2003. Language profici</w:t>
      </w:r>
      <w:r>
        <w:t xml:space="preserve">ency and </w:t>
      </w:r>
      <w:proofErr w:type="spellStart"/>
      <w:r>
        <w:t>labour</w:t>
      </w:r>
      <w:proofErr w:type="spellEnd"/>
      <w:r>
        <w:t xml:space="preserve"> market </w:t>
      </w:r>
    </w:p>
    <w:p w:rsidR="004911DF" w:rsidRDefault="003B3254">
      <w:pPr>
        <w:pStyle w:val="BodyA"/>
        <w:spacing w:before="100" w:after="100"/>
        <w:ind w:firstLine="720"/>
      </w:pPr>
      <w:r>
        <w:t>performance of immigrants in the UK</w:t>
      </w:r>
      <w:r>
        <w:rPr>
          <w:rFonts w:hAnsi="Times New Roman"/>
        </w:rPr>
        <w:t>”</w:t>
      </w:r>
      <w:r>
        <w:t xml:space="preserve">, </w:t>
      </w:r>
      <w:r>
        <w:rPr>
          <w:i/>
          <w:iCs/>
        </w:rPr>
        <w:t>Economic Journal</w:t>
      </w:r>
      <w:r>
        <w:t>, 113.489: 695</w:t>
      </w:r>
      <w:r>
        <w:rPr>
          <w:rFonts w:hAnsi="Times New Roman"/>
        </w:rPr>
        <w:t>–</w:t>
      </w:r>
      <w:r>
        <w:t>717.</w:t>
      </w:r>
    </w:p>
    <w:p w:rsidR="004911DF" w:rsidRDefault="003B3254">
      <w:pPr>
        <w:pStyle w:val="BodyA"/>
        <w:spacing w:before="100" w:after="100"/>
        <w:rPr>
          <w:i/>
          <w:iCs/>
        </w:rPr>
      </w:pPr>
      <w:r>
        <w:t xml:space="preserve">Ghana Statistical Service, 2012. 2010 </w:t>
      </w:r>
      <w:r>
        <w:rPr>
          <w:i/>
          <w:iCs/>
        </w:rPr>
        <w:t xml:space="preserve">Population &amp; Housing Census, Summary of Final </w:t>
      </w:r>
    </w:p>
    <w:p w:rsidR="004911DF" w:rsidRDefault="003B3254">
      <w:pPr>
        <w:pStyle w:val="BodyA"/>
        <w:spacing w:before="100" w:after="100"/>
      </w:pPr>
      <w:r>
        <w:rPr>
          <w:i/>
          <w:iCs/>
        </w:rPr>
        <w:t xml:space="preserve">            Results.</w:t>
      </w:r>
      <w:r>
        <w:t xml:space="preserve"> Accra: Ghana Statistical Service.</w:t>
      </w:r>
    </w:p>
    <w:p w:rsidR="004911DF" w:rsidRDefault="003B3254">
      <w:pPr>
        <w:pStyle w:val="BodyA"/>
        <w:spacing w:before="100" w:after="100"/>
        <w:rPr>
          <w:i/>
          <w:iCs/>
        </w:rPr>
      </w:pPr>
      <w:proofErr w:type="spellStart"/>
      <w:r>
        <w:t>Guerini</w:t>
      </w:r>
      <w:proofErr w:type="spellEnd"/>
      <w:r>
        <w:t xml:space="preserve">, Federica, 2006. </w:t>
      </w:r>
      <w:r>
        <w:rPr>
          <w:i/>
          <w:iCs/>
        </w:rPr>
        <w:t xml:space="preserve">Language Alternation Strategies in Multilingual Settings: A Case </w:t>
      </w:r>
    </w:p>
    <w:p w:rsidR="004911DF" w:rsidRDefault="003B3254">
      <w:pPr>
        <w:pStyle w:val="BodyA"/>
        <w:spacing w:before="100" w:after="100"/>
      </w:pPr>
      <w:r>
        <w:rPr>
          <w:i/>
          <w:iCs/>
        </w:rPr>
        <w:tab/>
        <w:t xml:space="preserve">  Study. Ghanaian Immigrants in Northern Italy</w:t>
      </w:r>
      <w:r>
        <w:rPr>
          <w:lang w:val="de-DE"/>
        </w:rPr>
        <w:t>. Bern: Peter Lang.</w:t>
      </w:r>
    </w:p>
    <w:p w:rsidR="004911DF" w:rsidRDefault="003B3254">
      <w:pPr>
        <w:pStyle w:val="BodyA"/>
        <w:spacing w:before="100" w:after="100"/>
      </w:pPr>
      <w:proofErr w:type="spellStart"/>
      <w:r>
        <w:rPr>
          <w:color w:val="1A1A1A"/>
          <w:sz w:val="26"/>
          <w:szCs w:val="26"/>
          <w:u w:color="1A1A1A"/>
        </w:rPr>
        <w:t>Herk</w:t>
      </w:r>
      <w:proofErr w:type="spellEnd"/>
      <w:r>
        <w:rPr>
          <w:color w:val="1A1A1A"/>
          <w:sz w:val="26"/>
          <w:szCs w:val="26"/>
          <w:u w:color="1A1A1A"/>
        </w:rPr>
        <w:t>, Gerard Van, 2012. What is sociolinguistics.</w:t>
      </w:r>
      <w:r>
        <w:tab/>
        <w:t xml:space="preserve">     </w:t>
      </w:r>
    </w:p>
    <w:p w:rsidR="004911DF" w:rsidRDefault="003B3254">
      <w:pPr>
        <w:pStyle w:val="BodyA"/>
        <w:spacing w:before="100" w:after="100"/>
      </w:pPr>
      <w:r>
        <w:rPr>
          <w:color w:val="1A1A1A"/>
          <w:u w:color="1A1A1A"/>
        </w:rPr>
        <w:t>Kroll, Judith F., and Annette De Groot</w:t>
      </w:r>
      <w:r>
        <w:rPr>
          <w:lang w:val="de-DE"/>
        </w:rPr>
        <w:t>, 19</w:t>
      </w:r>
      <w:r>
        <w:rPr>
          <w:lang w:val="de-DE"/>
        </w:rPr>
        <w:t xml:space="preserve">97. </w:t>
      </w:r>
      <w:r>
        <w:t xml:space="preserve">Lexical and Conceptual Memory in the </w:t>
      </w:r>
    </w:p>
    <w:p w:rsidR="004911DF" w:rsidRPr="00C155F7" w:rsidRDefault="003B3254">
      <w:pPr>
        <w:pStyle w:val="BodyA"/>
        <w:spacing w:before="100" w:after="100"/>
        <w:rPr>
          <w:lang w:val="fr-FR"/>
        </w:rPr>
      </w:pPr>
      <w:r>
        <w:tab/>
        <w:t xml:space="preserve">bilingual: Mapping form to meaning in two languages. </w:t>
      </w:r>
      <w:r w:rsidRPr="00C155F7">
        <w:rPr>
          <w:lang w:val="fr-FR"/>
        </w:rPr>
        <w:t xml:space="preserve">In A. M. B. De </w:t>
      </w:r>
      <w:proofErr w:type="spellStart"/>
      <w:r w:rsidRPr="00C155F7">
        <w:rPr>
          <w:lang w:val="fr-FR"/>
        </w:rPr>
        <w:t>Groot</w:t>
      </w:r>
      <w:proofErr w:type="spellEnd"/>
      <w:r w:rsidRPr="00C155F7">
        <w:rPr>
          <w:lang w:val="fr-FR"/>
        </w:rPr>
        <w:t xml:space="preserve"> &amp; </w:t>
      </w:r>
    </w:p>
    <w:p w:rsidR="004911DF" w:rsidRDefault="003B3254">
      <w:pPr>
        <w:pStyle w:val="BodyA"/>
        <w:spacing w:before="100" w:after="100"/>
      </w:pPr>
      <w:r>
        <w:rPr>
          <w:lang w:val="sv-SE"/>
        </w:rPr>
        <w:tab/>
        <w:t xml:space="preserve">J. F. Kroll (Eds.), </w:t>
      </w:r>
      <w:r>
        <w:rPr>
          <w:i/>
          <w:iCs/>
        </w:rPr>
        <w:t>Tutorials in Bilingualism: psycholinguistics perspective</w:t>
      </w:r>
      <w:r>
        <w:t xml:space="preserve">. </w:t>
      </w:r>
    </w:p>
    <w:p w:rsidR="004911DF" w:rsidRDefault="003B3254">
      <w:pPr>
        <w:pStyle w:val="BodyA"/>
        <w:spacing w:before="100" w:after="100"/>
      </w:pPr>
      <w:r>
        <w:rPr>
          <w:lang w:val="de-DE"/>
        </w:rPr>
        <w:tab/>
        <w:t>Mahwah, NJ: Erlbaum.</w:t>
      </w:r>
    </w:p>
    <w:p w:rsidR="004911DF" w:rsidRDefault="003B3254">
      <w:pPr>
        <w:pStyle w:val="BodyA"/>
        <w:spacing w:before="100" w:after="100"/>
        <w:rPr>
          <w:i/>
          <w:iCs/>
        </w:rPr>
      </w:pPr>
      <w:proofErr w:type="spellStart"/>
      <w:r>
        <w:t>Kropp</w:t>
      </w:r>
      <w:proofErr w:type="spellEnd"/>
      <w:r>
        <w:t xml:space="preserve"> </w:t>
      </w:r>
      <w:proofErr w:type="spellStart"/>
      <w:r>
        <w:t>Dakubu</w:t>
      </w:r>
      <w:proofErr w:type="spellEnd"/>
      <w:r>
        <w:t xml:space="preserve">, Mary Esther, 1997. </w:t>
      </w:r>
      <w:proofErr w:type="spellStart"/>
      <w:r>
        <w:rPr>
          <w:i/>
          <w:iCs/>
        </w:rPr>
        <w:t>K</w:t>
      </w:r>
      <w:r>
        <w:rPr>
          <w:i/>
          <w:iCs/>
        </w:rPr>
        <w:t>orle</w:t>
      </w:r>
      <w:proofErr w:type="spellEnd"/>
      <w:r>
        <w:rPr>
          <w:i/>
          <w:iCs/>
        </w:rPr>
        <w:t xml:space="preserve"> Meets the Sea: A Sociolinguistic History of Accra. </w:t>
      </w:r>
    </w:p>
    <w:p w:rsidR="004911DF" w:rsidRDefault="003B3254">
      <w:pPr>
        <w:pStyle w:val="BodyA"/>
        <w:spacing w:before="100" w:after="100"/>
        <w:ind w:firstLine="720"/>
      </w:pPr>
      <w:r>
        <w:t xml:space="preserve">Oxford: Oxford University Press. </w:t>
      </w:r>
    </w:p>
    <w:p w:rsidR="004911DF" w:rsidRDefault="003B3254">
      <w:pPr>
        <w:pStyle w:val="BodyA"/>
        <w:spacing w:before="100" w:after="100"/>
      </w:pPr>
      <w:r>
        <w:t xml:space="preserve">Li, Wei, 2000. Dimensions of Bilingualism. In Li Wei (Ed.), </w:t>
      </w:r>
      <w:r>
        <w:rPr>
          <w:i/>
          <w:iCs/>
        </w:rPr>
        <w:t>The Bilingualism reader</w:t>
      </w:r>
      <w:r>
        <w:t xml:space="preserve">. </w:t>
      </w:r>
    </w:p>
    <w:p w:rsidR="004911DF" w:rsidRDefault="003B3254">
      <w:pPr>
        <w:pStyle w:val="BodyA"/>
        <w:spacing w:before="100" w:after="100"/>
      </w:pPr>
      <w:r>
        <w:tab/>
        <w:t>London: Routledge.</w:t>
      </w:r>
    </w:p>
    <w:p w:rsidR="004911DF" w:rsidRDefault="003B3254">
      <w:pPr>
        <w:pStyle w:val="BodyA"/>
        <w:spacing w:before="100" w:after="100"/>
        <w:rPr>
          <w:i/>
          <w:iCs/>
        </w:rPr>
      </w:pPr>
      <w:r>
        <w:t xml:space="preserve">Mackey, William F., 1970. The Description of Bilingualism. In Joshua. A. Fishman (Ed.), </w:t>
      </w:r>
      <w:r>
        <w:rPr>
          <w:i/>
          <w:iCs/>
        </w:rPr>
        <w:t xml:space="preserve"> </w:t>
      </w:r>
    </w:p>
    <w:p w:rsidR="004911DF" w:rsidRDefault="003B3254">
      <w:pPr>
        <w:pStyle w:val="BodyA"/>
        <w:spacing w:before="100" w:after="100"/>
      </w:pPr>
      <w:r>
        <w:rPr>
          <w:i/>
          <w:iCs/>
        </w:rPr>
        <w:tab/>
        <w:t xml:space="preserve">    Readings in the Sociology of Language</w:t>
      </w:r>
      <w:r>
        <w:t xml:space="preserve"> (pp. 554-584). The Hague: Mouton.</w:t>
      </w:r>
    </w:p>
    <w:p w:rsidR="004911DF" w:rsidRDefault="003B3254">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i/>
          <w:iCs/>
          <w:sz w:val="24"/>
          <w:szCs w:val="24"/>
        </w:rPr>
      </w:pPr>
      <w:proofErr w:type="spellStart"/>
      <w:r>
        <w:rPr>
          <w:rFonts w:ascii="Times New Roman"/>
          <w:sz w:val="24"/>
          <w:szCs w:val="24"/>
        </w:rPr>
        <w:t>Ntewusu</w:t>
      </w:r>
      <w:proofErr w:type="spellEnd"/>
      <w:r>
        <w:rPr>
          <w:rFonts w:ascii="Times New Roman"/>
          <w:sz w:val="24"/>
          <w:szCs w:val="24"/>
        </w:rPr>
        <w:t xml:space="preserve">. Samuel </w:t>
      </w:r>
      <w:proofErr w:type="spellStart"/>
      <w:r>
        <w:rPr>
          <w:rFonts w:ascii="Times New Roman"/>
          <w:sz w:val="24"/>
          <w:szCs w:val="24"/>
        </w:rPr>
        <w:t>Aniegye</w:t>
      </w:r>
      <w:proofErr w:type="spellEnd"/>
      <w:r>
        <w:rPr>
          <w:rFonts w:ascii="Times New Roman"/>
          <w:sz w:val="24"/>
          <w:szCs w:val="24"/>
        </w:rPr>
        <w:t xml:space="preserve">, 2005. </w:t>
      </w:r>
      <w:r>
        <w:rPr>
          <w:rFonts w:ascii="Times New Roman"/>
          <w:i/>
          <w:iCs/>
          <w:sz w:val="24"/>
          <w:szCs w:val="24"/>
        </w:rPr>
        <w:t xml:space="preserve">The Northern Factor in Accra: A Historical Study of </w:t>
      </w:r>
    </w:p>
    <w:p w:rsidR="004911DF" w:rsidRDefault="003B3254">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i/>
          <w:iCs/>
          <w:sz w:val="24"/>
          <w:szCs w:val="24"/>
        </w:rPr>
        <w:t xml:space="preserve">            </w:t>
      </w:r>
      <w:proofErr w:type="spellStart"/>
      <w:r>
        <w:rPr>
          <w:rFonts w:ascii="Times New Roman"/>
          <w:i/>
          <w:iCs/>
          <w:sz w:val="24"/>
          <w:szCs w:val="24"/>
        </w:rPr>
        <w:t>Madina</w:t>
      </w:r>
      <w:proofErr w:type="spellEnd"/>
      <w:r>
        <w:rPr>
          <w:rFonts w:ascii="Times New Roman"/>
          <w:i/>
          <w:iCs/>
          <w:sz w:val="24"/>
          <w:szCs w:val="24"/>
        </w:rPr>
        <w:t xml:space="preserve"> </w:t>
      </w:r>
      <w:proofErr w:type="spellStart"/>
      <w:r>
        <w:rPr>
          <w:rFonts w:ascii="Times New Roman"/>
          <w:i/>
          <w:iCs/>
          <w:sz w:val="24"/>
          <w:szCs w:val="24"/>
        </w:rPr>
        <w:t>Zongo</w:t>
      </w:r>
      <w:proofErr w:type="spellEnd"/>
      <w:r>
        <w:rPr>
          <w:rFonts w:ascii="Times New Roman"/>
          <w:i/>
          <w:iCs/>
          <w:sz w:val="24"/>
          <w:szCs w:val="24"/>
        </w:rPr>
        <w:t xml:space="preserve"> as a Sub-Urban Settlement 1957-2000.</w:t>
      </w:r>
      <w:r>
        <w:rPr>
          <w:rFonts w:ascii="Times New Roman"/>
          <w:sz w:val="24"/>
          <w:szCs w:val="24"/>
        </w:rPr>
        <w:t xml:space="preserve"> Unpublished Thesis, Institute </w:t>
      </w:r>
    </w:p>
    <w:p w:rsidR="004911DF" w:rsidRDefault="003B3254">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sz w:val="24"/>
          <w:szCs w:val="24"/>
        </w:rPr>
        <w:t xml:space="preserve">             of African Studies,  University of Ghana, Legon.</w:t>
      </w:r>
    </w:p>
    <w:p w:rsidR="004911DF" w:rsidRDefault="003B3254">
      <w:pPr>
        <w:pStyle w:val="BodyA"/>
        <w:spacing w:before="100" w:after="100"/>
        <w:rPr>
          <w:color w:val="1A1A1A"/>
          <w:u w:color="1A1A1A"/>
        </w:rPr>
      </w:pPr>
      <w:proofErr w:type="spellStart"/>
      <w:r>
        <w:rPr>
          <w:color w:val="1A1A1A"/>
          <w:u w:color="1A1A1A"/>
        </w:rPr>
        <w:t>Ogbu</w:t>
      </w:r>
      <w:proofErr w:type="spellEnd"/>
      <w:r>
        <w:rPr>
          <w:color w:val="1A1A1A"/>
          <w:u w:color="1A1A1A"/>
        </w:rPr>
        <w:t xml:space="preserve">, John, 1978. </w:t>
      </w:r>
      <w:r>
        <w:rPr>
          <w:i/>
          <w:iCs/>
          <w:color w:val="1A1A1A"/>
          <w:u w:color="1A1A1A"/>
        </w:rPr>
        <w:t>Minority education and caste</w:t>
      </w:r>
      <w:r>
        <w:rPr>
          <w:color w:val="1A1A1A"/>
          <w:u w:color="1A1A1A"/>
        </w:rPr>
        <w:t xml:space="preserve"> (Vol. 581). New York: Academic Press.</w:t>
      </w:r>
    </w:p>
    <w:p w:rsidR="004911DF" w:rsidRDefault="003B3254">
      <w:pPr>
        <w:pStyle w:val="BodyA"/>
        <w:spacing w:before="100" w:after="100"/>
        <w:rPr>
          <w:color w:val="1A1A1A"/>
          <w:sz w:val="26"/>
          <w:szCs w:val="26"/>
          <w:u w:color="1A1A1A"/>
        </w:rPr>
      </w:pPr>
      <w:proofErr w:type="spellStart"/>
      <w:r>
        <w:rPr>
          <w:color w:val="1A1A1A"/>
          <w:sz w:val="26"/>
          <w:szCs w:val="26"/>
          <w:u w:color="1A1A1A"/>
        </w:rPr>
        <w:t>Quarcoo</w:t>
      </w:r>
      <w:proofErr w:type="spellEnd"/>
      <w:r>
        <w:rPr>
          <w:color w:val="1A1A1A"/>
          <w:sz w:val="26"/>
          <w:szCs w:val="26"/>
          <w:u w:color="1A1A1A"/>
        </w:rPr>
        <w:t xml:space="preserve">, Alfred </w:t>
      </w:r>
      <w:r>
        <w:rPr>
          <w:color w:val="1A1A1A"/>
          <w:sz w:val="26"/>
          <w:szCs w:val="26"/>
          <w:u w:color="1A1A1A"/>
        </w:rPr>
        <w:t xml:space="preserve">Kofi, </w:t>
      </w:r>
      <w:proofErr w:type="spellStart"/>
      <w:r>
        <w:rPr>
          <w:color w:val="1A1A1A"/>
          <w:sz w:val="26"/>
          <w:szCs w:val="26"/>
          <w:u w:color="1A1A1A"/>
        </w:rPr>
        <w:t>Addo</w:t>
      </w:r>
      <w:proofErr w:type="spellEnd"/>
      <w:r>
        <w:rPr>
          <w:color w:val="1A1A1A"/>
          <w:sz w:val="26"/>
          <w:szCs w:val="26"/>
          <w:u w:color="1A1A1A"/>
        </w:rPr>
        <w:t xml:space="preserve">, Nelson O. and </w:t>
      </w:r>
      <w:proofErr w:type="spellStart"/>
      <w:r>
        <w:rPr>
          <w:color w:val="1A1A1A"/>
          <w:sz w:val="26"/>
          <w:szCs w:val="26"/>
          <w:u w:color="1A1A1A"/>
        </w:rPr>
        <w:t>Peil</w:t>
      </w:r>
      <w:proofErr w:type="spellEnd"/>
      <w:r>
        <w:rPr>
          <w:color w:val="1A1A1A"/>
          <w:sz w:val="26"/>
          <w:szCs w:val="26"/>
          <w:u w:color="1A1A1A"/>
        </w:rPr>
        <w:t xml:space="preserve">, Margaret, 1967. </w:t>
      </w:r>
      <w:proofErr w:type="spellStart"/>
      <w:r>
        <w:rPr>
          <w:i/>
          <w:iCs/>
          <w:color w:val="1A1A1A"/>
          <w:sz w:val="26"/>
          <w:szCs w:val="26"/>
          <w:u w:color="1A1A1A"/>
        </w:rPr>
        <w:t>Madina</w:t>
      </w:r>
      <w:proofErr w:type="spellEnd"/>
      <w:r>
        <w:rPr>
          <w:i/>
          <w:iCs/>
          <w:color w:val="1A1A1A"/>
          <w:sz w:val="26"/>
          <w:szCs w:val="26"/>
          <w:u w:color="1A1A1A"/>
        </w:rPr>
        <w:t xml:space="preserve"> survey. </w:t>
      </w:r>
    </w:p>
    <w:p w:rsidR="004911DF" w:rsidRDefault="003B3254">
      <w:pPr>
        <w:pStyle w:val="BodyA"/>
        <w:spacing w:before="100" w:after="100"/>
        <w:rPr>
          <w:color w:val="1A1A1A"/>
          <w:sz w:val="26"/>
          <w:szCs w:val="26"/>
          <w:u w:color="1A1A1A"/>
        </w:rPr>
      </w:pPr>
      <w:r>
        <w:rPr>
          <w:color w:val="1A1A1A"/>
          <w:sz w:val="26"/>
          <w:szCs w:val="26"/>
          <w:u w:color="1A1A1A"/>
        </w:rPr>
        <w:t xml:space="preserve">              Institute of African Studies, University of Ghana, Legon.</w:t>
      </w:r>
    </w:p>
    <w:p w:rsidR="004911DF" w:rsidRDefault="003B3254">
      <w:pPr>
        <w:pStyle w:val="BodyA"/>
        <w:spacing w:before="100" w:after="100"/>
        <w:rPr>
          <w:color w:val="1A1A1A"/>
          <w:sz w:val="26"/>
          <w:szCs w:val="26"/>
          <w:u w:color="1A1A1A"/>
        </w:rPr>
      </w:pPr>
      <w:proofErr w:type="spellStart"/>
      <w:r>
        <w:rPr>
          <w:color w:val="1A1A1A"/>
          <w:sz w:val="26"/>
          <w:szCs w:val="26"/>
          <w:u w:color="1A1A1A"/>
        </w:rPr>
        <w:t>Sedlak</w:t>
      </w:r>
      <w:proofErr w:type="spellEnd"/>
      <w:r>
        <w:rPr>
          <w:color w:val="1A1A1A"/>
          <w:sz w:val="26"/>
          <w:szCs w:val="26"/>
          <w:u w:color="1A1A1A"/>
        </w:rPr>
        <w:t>, Philip, 1983. The Kenyan Language Setting.</w:t>
      </w:r>
    </w:p>
    <w:p w:rsidR="004911DF" w:rsidRDefault="003B3254">
      <w:pPr>
        <w:pStyle w:val="BodyA"/>
        <w:spacing w:before="100" w:after="100"/>
      </w:pPr>
      <w:proofErr w:type="spellStart"/>
      <w:r>
        <w:t>Skutnabb-Kangas</w:t>
      </w:r>
      <w:proofErr w:type="spellEnd"/>
      <w:r>
        <w:t xml:space="preserve">, </w:t>
      </w:r>
      <w:proofErr w:type="spellStart"/>
      <w:r>
        <w:t>Tove</w:t>
      </w:r>
      <w:proofErr w:type="spellEnd"/>
      <w:r>
        <w:t xml:space="preserve">, 1981. </w:t>
      </w:r>
      <w:r>
        <w:rPr>
          <w:i/>
          <w:iCs/>
        </w:rPr>
        <w:t>Bilingualism or Not: The Education of Mi</w:t>
      </w:r>
      <w:r>
        <w:rPr>
          <w:i/>
          <w:iCs/>
        </w:rPr>
        <w:t>norities</w:t>
      </w:r>
      <w:r>
        <w:t xml:space="preserve">. </w:t>
      </w:r>
    </w:p>
    <w:p w:rsidR="004911DF" w:rsidRDefault="003B3254">
      <w:pPr>
        <w:pStyle w:val="BodyA"/>
        <w:spacing w:before="100" w:after="100"/>
      </w:pPr>
      <w:r>
        <w:tab/>
        <w:t xml:space="preserve">     </w:t>
      </w:r>
      <w:proofErr w:type="spellStart"/>
      <w:r>
        <w:t>Clevedon</w:t>
      </w:r>
      <w:proofErr w:type="spellEnd"/>
      <w:r>
        <w:t>: Multilingualism Matters.</w:t>
      </w:r>
    </w:p>
    <w:p w:rsidR="004911DF" w:rsidRDefault="003B3254">
      <w:pPr>
        <w:pStyle w:val="BodyA"/>
        <w:spacing w:before="100" w:after="100"/>
        <w:rPr>
          <w:i/>
          <w:iCs/>
        </w:rPr>
      </w:pPr>
      <w:proofErr w:type="spellStart"/>
      <w:r>
        <w:t>Skutnabb</w:t>
      </w:r>
      <w:r>
        <w:rPr>
          <w:rFonts w:ascii="Cambria Math" w:eastAsia="Cambria Math" w:hAnsi="Cambria Math" w:cs="Cambria Math"/>
        </w:rPr>
        <w:t>‐</w:t>
      </w:r>
      <w:r>
        <w:t>Kangas</w:t>
      </w:r>
      <w:proofErr w:type="spellEnd"/>
      <w:r>
        <w:t xml:space="preserve">, </w:t>
      </w:r>
      <w:proofErr w:type="spellStart"/>
      <w:r>
        <w:t>Tove</w:t>
      </w:r>
      <w:proofErr w:type="spellEnd"/>
      <w:r>
        <w:t xml:space="preserve">, 2000. </w:t>
      </w:r>
      <w:r>
        <w:rPr>
          <w:i/>
          <w:iCs/>
        </w:rPr>
        <w:t>Linguistic genocide in education or worldwide diversity and</w:t>
      </w:r>
    </w:p>
    <w:p w:rsidR="004911DF" w:rsidRDefault="003B3254">
      <w:pPr>
        <w:pStyle w:val="BodyA"/>
        <w:spacing w:before="100" w:after="100"/>
        <w:ind w:firstLine="720"/>
      </w:pPr>
      <w:r>
        <w:rPr>
          <w:i/>
          <w:iCs/>
        </w:rPr>
        <w:t xml:space="preserve"> human rights</w:t>
      </w:r>
      <w:r>
        <w:rPr>
          <w:lang w:val="de-DE"/>
        </w:rPr>
        <w:t xml:space="preserve">. Mahwah, NJ: Lawrence Erlbaum. </w:t>
      </w:r>
    </w:p>
    <w:p w:rsidR="004911DF" w:rsidRDefault="003B3254">
      <w:pPr>
        <w:pStyle w:val="BodyA"/>
        <w:spacing w:before="100" w:after="100"/>
      </w:pPr>
      <w:proofErr w:type="spellStart"/>
      <w:r>
        <w:t>Skutnabb</w:t>
      </w:r>
      <w:r>
        <w:rPr>
          <w:rFonts w:ascii="Cambria Math" w:eastAsia="Cambria Math" w:hAnsi="Cambria Math" w:cs="Cambria Math"/>
        </w:rPr>
        <w:t>‐</w:t>
      </w:r>
      <w:r>
        <w:t>Kangas</w:t>
      </w:r>
      <w:proofErr w:type="spellEnd"/>
      <w:r>
        <w:t xml:space="preserve">, </w:t>
      </w:r>
      <w:proofErr w:type="spellStart"/>
      <w:r>
        <w:t>Tove</w:t>
      </w:r>
      <w:proofErr w:type="spellEnd"/>
      <w:r>
        <w:t xml:space="preserve">, 2001. The </w:t>
      </w:r>
      <w:proofErr w:type="spellStart"/>
      <w:r>
        <w:t>Globalisation</w:t>
      </w:r>
      <w:proofErr w:type="spellEnd"/>
      <w:r>
        <w:t xml:space="preserve"> of (Educational) Language Rights. </w:t>
      </w:r>
    </w:p>
    <w:p w:rsidR="004911DF" w:rsidRDefault="003B3254">
      <w:pPr>
        <w:pStyle w:val="BodyA"/>
        <w:spacing w:before="100" w:after="100"/>
        <w:ind w:firstLine="720"/>
      </w:pPr>
      <w:r>
        <w:rPr>
          <w:i/>
          <w:iCs/>
        </w:rPr>
        <w:t>International Review of Education, 47</w:t>
      </w:r>
      <w:r>
        <w:t>.3/4: 201</w:t>
      </w:r>
      <w:r>
        <w:rPr>
          <w:rFonts w:ascii="Cambria Math" w:eastAsia="Cambria Math" w:hAnsi="Cambria Math" w:cs="Cambria Math"/>
        </w:rPr>
        <w:t>‐</w:t>
      </w:r>
      <w:r>
        <w:t xml:space="preserve">219. </w:t>
      </w:r>
    </w:p>
    <w:p w:rsidR="004911DF" w:rsidRDefault="003B3254">
      <w:pPr>
        <w:pStyle w:val="BodyA"/>
        <w:spacing w:before="100" w:after="100"/>
      </w:pPr>
      <w:proofErr w:type="spellStart"/>
      <w:r>
        <w:t>Skutnabb</w:t>
      </w:r>
      <w:r>
        <w:rPr>
          <w:rFonts w:ascii="Cambria Math" w:eastAsia="Cambria Math" w:hAnsi="Cambria Math" w:cs="Cambria Math"/>
        </w:rPr>
        <w:t>‐</w:t>
      </w:r>
      <w:r>
        <w:t>Kangas</w:t>
      </w:r>
      <w:proofErr w:type="spellEnd"/>
      <w:r>
        <w:t xml:space="preserve">, </w:t>
      </w:r>
      <w:proofErr w:type="spellStart"/>
      <w:r>
        <w:t>Tove</w:t>
      </w:r>
      <w:proofErr w:type="spellEnd"/>
      <w:r>
        <w:t xml:space="preserve">, 2003. Linguistic Diversity and Biodiversity: The Threat from Killer </w:t>
      </w:r>
    </w:p>
    <w:p w:rsidR="004911DF" w:rsidRDefault="003B3254">
      <w:pPr>
        <w:pStyle w:val="BodyA"/>
        <w:spacing w:before="100" w:after="100"/>
        <w:rPr>
          <w:i/>
          <w:iCs/>
        </w:rPr>
      </w:pPr>
      <w:r>
        <w:tab/>
        <w:t xml:space="preserve">Languages. In Christian </w:t>
      </w:r>
      <w:proofErr w:type="spellStart"/>
      <w:r>
        <w:t>Mair</w:t>
      </w:r>
      <w:proofErr w:type="spellEnd"/>
      <w:r>
        <w:t xml:space="preserve"> (Ed.). </w:t>
      </w:r>
      <w:r>
        <w:rPr>
          <w:i/>
          <w:iCs/>
        </w:rPr>
        <w:t>T</w:t>
      </w:r>
      <w:r>
        <w:rPr>
          <w:i/>
          <w:iCs/>
        </w:rPr>
        <w:t xml:space="preserve">he Politics of English as a World Language:  </w:t>
      </w:r>
    </w:p>
    <w:p w:rsidR="004911DF" w:rsidRDefault="003B3254">
      <w:pPr>
        <w:pStyle w:val="BodyA"/>
        <w:spacing w:before="100" w:after="100"/>
        <w:rPr>
          <w:i/>
          <w:iCs/>
        </w:rPr>
      </w:pPr>
      <w:r>
        <w:rPr>
          <w:i/>
          <w:iCs/>
        </w:rPr>
        <w:lastRenderedPageBreak/>
        <w:t xml:space="preserve">            New Horizons in Postcolonial Cultural Studies </w:t>
      </w:r>
      <w:r>
        <w:t>(pp. 31</w:t>
      </w:r>
      <w:r>
        <w:rPr>
          <w:rFonts w:ascii="Cambria Math" w:eastAsia="Cambria Math" w:hAnsi="Cambria Math" w:cs="Cambria Math"/>
        </w:rPr>
        <w:t>‐</w:t>
      </w:r>
      <w:r>
        <w:t xml:space="preserve">52). Amsterdam: </w:t>
      </w:r>
      <w:proofErr w:type="spellStart"/>
      <w:r>
        <w:t>Rodopi</w:t>
      </w:r>
      <w:proofErr w:type="spellEnd"/>
      <w:r>
        <w:t xml:space="preserve">. </w:t>
      </w:r>
      <w:proofErr w:type="spellStart"/>
      <w:r>
        <w:t>Skutnabb</w:t>
      </w:r>
      <w:r>
        <w:rPr>
          <w:rFonts w:ascii="Cambria Math" w:eastAsia="Cambria Math" w:hAnsi="Cambria Math" w:cs="Cambria Math"/>
        </w:rPr>
        <w:t>‐</w:t>
      </w:r>
      <w:r>
        <w:t>Kangas</w:t>
      </w:r>
      <w:proofErr w:type="spellEnd"/>
      <w:r>
        <w:t xml:space="preserve">, </w:t>
      </w:r>
      <w:proofErr w:type="spellStart"/>
      <w:r>
        <w:t>Tove</w:t>
      </w:r>
      <w:proofErr w:type="spellEnd"/>
      <w:r>
        <w:t xml:space="preserve">, &amp; Phillipson, Robert, 1998. Language in human rights. </w:t>
      </w:r>
      <w:r>
        <w:rPr>
          <w:i/>
          <w:iCs/>
        </w:rPr>
        <w:t xml:space="preserve">The </w:t>
      </w:r>
    </w:p>
    <w:p w:rsidR="004911DF" w:rsidRDefault="003B3254">
      <w:pPr>
        <w:pStyle w:val="BodyA"/>
        <w:spacing w:before="100" w:after="100"/>
        <w:ind w:firstLine="720"/>
        <w:rPr>
          <w:i/>
          <w:iCs/>
        </w:rPr>
      </w:pPr>
      <w:r>
        <w:rPr>
          <w:i/>
          <w:iCs/>
          <w:lang w:val="nl-NL"/>
        </w:rPr>
        <w:t>International Communication Gazette, 6</w:t>
      </w:r>
      <w:r>
        <w:rPr>
          <w:i/>
          <w:iCs/>
          <w:lang w:val="nl-NL"/>
        </w:rPr>
        <w:t>0.</w:t>
      </w:r>
      <w:r>
        <w:t>1: 27</w:t>
      </w:r>
      <w:r>
        <w:rPr>
          <w:rFonts w:ascii="Cambria Math" w:eastAsia="Cambria Math" w:hAnsi="Cambria Math" w:cs="Cambria Math"/>
        </w:rPr>
        <w:t>‐</w:t>
      </w:r>
      <w:r>
        <w:t xml:space="preserve">46. </w:t>
      </w:r>
    </w:p>
    <w:p w:rsidR="004911DF" w:rsidRDefault="003B3254">
      <w:pPr>
        <w:pStyle w:val="BodyA"/>
        <w:spacing w:before="100" w:after="100"/>
        <w:rPr>
          <w:i/>
          <w:iCs/>
        </w:rPr>
      </w:pPr>
      <w:proofErr w:type="spellStart"/>
      <w:r>
        <w:t>Skutnabb</w:t>
      </w:r>
      <w:r>
        <w:rPr>
          <w:rFonts w:ascii="Cambria Math" w:eastAsia="Cambria Math" w:hAnsi="Cambria Math" w:cs="Cambria Math"/>
        </w:rPr>
        <w:t>‐</w:t>
      </w:r>
      <w:r>
        <w:t>Kangas</w:t>
      </w:r>
      <w:proofErr w:type="spellEnd"/>
      <w:r>
        <w:t xml:space="preserve">, </w:t>
      </w:r>
      <w:proofErr w:type="spellStart"/>
      <w:r>
        <w:t>Tove</w:t>
      </w:r>
      <w:proofErr w:type="spellEnd"/>
      <w:r>
        <w:t xml:space="preserve">, &amp; Phillipson, Robert, (Eds.). 1994. </w:t>
      </w:r>
      <w:r>
        <w:rPr>
          <w:i/>
          <w:iCs/>
        </w:rPr>
        <w:t xml:space="preserve">Linguistic human rights: </w:t>
      </w:r>
    </w:p>
    <w:p w:rsidR="004911DF" w:rsidRDefault="003B3254">
      <w:pPr>
        <w:pStyle w:val="BodyA"/>
        <w:spacing w:before="100" w:after="100"/>
        <w:ind w:firstLine="720"/>
        <w:rPr>
          <w:i/>
          <w:iCs/>
        </w:rPr>
      </w:pPr>
      <w:r>
        <w:rPr>
          <w:i/>
          <w:iCs/>
        </w:rPr>
        <w:t>Overcoming linguistic discrimination</w:t>
      </w:r>
      <w:r>
        <w:rPr>
          <w:lang w:val="nl-NL"/>
        </w:rPr>
        <w:t xml:space="preserve">. Berlin, New York: Mouton de Gruyter. </w:t>
      </w:r>
    </w:p>
    <w:p w:rsidR="004911DF" w:rsidRDefault="003B3254">
      <w:pPr>
        <w:pStyle w:val="BodyA"/>
        <w:spacing w:before="100" w:after="100"/>
        <w:rPr>
          <w:color w:val="1A1A1A"/>
          <w:sz w:val="26"/>
          <w:szCs w:val="26"/>
          <w:u w:color="1A1A1A"/>
        </w:rPr>
      </w:pPr>
      <w:r>
        <w:rPr>
          <w:color w:val="1A1A1A"/>
          <w:sz w:val="26"/>
          <w:szCs w:val="26"/>
          <w:u w:color="1A1A1A"/>
        </w:rPr>
        <w:t xml:space="preserve">Sridhar, Kamal, 1996. Language in education: Minorities and multilingualism in </w:t>
      </w:r>
    </w:p>
    <w:p w:rsidR="004911DF" w:rsidRDefault="003B3254">
      <w:pPr>
        <w:pStyle w:val="BodyA"/>
        <w:spacing w:before="100" w:after="100"/>
        <w:ind w:firstLine="720"/>
        <w:rPr>
          <w:color w:val="1A1A1A"/>
          <w:sz w:val="26"/>
          <w:szCs w:val="26"/>
          <w:u w:color="1A1A1A"/>
        </w:rPr>
      </w:pPr>
      <w:r>
        <w:rPr>
          <w:color w:val="1A1A1A"/>
          <w:sz w:val="26"/>
          <w:szCs w:val="26"/>
          <w:u w:color="1A1A1A"/>
        </w:rPr>
        <w:t xml:space="preserve">India. </w:t>
      </w:r>
      <w:r>
        <w:rPr>
          <w:i/>
          <w:iCs/>
          <w:color w:val="1A1A1A"/>
          <w:sz w:val="26"/>
          <w:szCs w:val="26"/>
          <w:u w:color="1A1A1A"/>
        </w:rPr>
        <w:t>International Review of Education</w:t>
      </w:r>
      <w:r>
        <w:rPr>
          <w:color w:val="1A1A1A"/>
          <w:sz w:val="26"/>
          <w:szCs w:val="26"/>
          <w:u w:color="1A1A1A"/>
        </w:rPr>
        <w:t xml:space="preserve">, </w:t>
      </w:r>
      <w:r>
        <w:rPr>
          <w:i/>
          <w:iCs/>
          <w:color w:val="1A1A1A"/>
          <w:sz w:val="26"/>
          <w:szCs w:val="26"/>
          <w:u w:color="1A1A1A"/>
        </w:rPr>
        <w:t>42</w:t>
      </w:r>
      <w:r>
        <w:rPr>
          <w:color w:val="1A1A1A"/>
          <w:sz w:val="26"/>
          <w:szCs w:val="26"/>
          <w:u w:color="1A1A1A"/>
        </w:rPr>
        <w:t>.4, pp.327-347.</w:t>
      </w:r>
    </w:p>
    <w:p w:rsidR="004911DF" w:rsidRDefault="003B3254">
      <w:pPr>
        <w:pStyle w:val="BodyA"/>
        <w:spacing w:before="100" w:after="100"/>
      </w:pPr>
      <w:r>
        <w:rPr>
          <w:color w:val="1A1A1A"/>
          <w:u w:color="1A1A1A"/>
        </w:rPr>
        <w:t xml:space="preserve">Steinberg, Danny D., and Natalia V. </w:t>
      </w:r>
      <w:proofErr w:type="spellStart"/>
      <w:r>
        <w:rPr>
          <w:color w:val="1A1A1A"/>
          <w:u w:color="1A1A1A"/>
        </w:rPr>
        <w:t>Sciarini</w:t>
      </w:r>
      <w:proofErr w:type="spellEnd"/>
      <w:r>
        <w:t xml:space="preserve">, 2006. </w:t>
      </w:r>
      <w:r>
        <w:rPr>
          <w:i/>
          <w:iCs/>
        </w:rPr>
        <w:t>An Introduction to Psycholinguistics</w:t>
      </w:r>
      <w:r>
        <w:t xml:space="preserve"> </w:t>
      </w:r>
    </w:p>
    <w:p w:rsidR="004911DF" w:rsidRDefault="003B3254">
      <w:pPr>
        <w:pStyle w:val="BodyA"/>
        <w:spacing w:before="100" w:after="100"/>
        <w:ind w:firstLine="720"/>
      </w:pPr>
      <w:r>
        <w:t>(2nd ed.). Harlow: Pearson Longman.</w:t>
      </w:r>
    </w:p>
    <w:p w:rsidR="004911DF" w:rsidRDefault="003B3254">
      <w:pPr>
        <w:pStyle w:val="BodyA"/>
        <w:spacing w:before="100" w:after="100"/>
      </w:pPr>
      <w:r>
        <w:rPr>
          <w:lang w:val="de-DE"/>
        </w:rPr>
        <w:t xml:space="preserve">Weinreich, Uriel, 1968 [1953]. </w:t>
      </w:r>
      <w:r>
        <w:rPr>
          <w:i/>
          <w:iCs/>
        </w:rPr>
        <w:t xml:space="preserve">Languages in Contact. Findings and </w:t>
      </w:r>
      <w:r>
        <w:rPr>
          <w:i/>
          <w:iCs/>
        </w:rPr>
        <w:t>Problems</w:t>
      </w:r>
      <w:r>
        <w:t xml:space="preserve">. The </w:t>
      </w:r>
    </w:p>
    <w:p w:rsidR="004911DF" w:rsidRDefault="003B3254">
      <w:pPr>
        <w:pStyle w:val="BodyA"/>
        <w:spacing w:before="100" w:after="100"/>
      </w:pPr>
      <w:r>
        <w:tab/>
        <w:t xml:space="preserve">       Hague: Mouton.</w:t>
      </w:r>
    </w:p>
    <w:p w:rsidR="004911DF" w:rsidRDefault="003B3254">
      <w:pPr>
        <w:pStyle w:val="BodyA"/>
        <w:spacing w:before="100" w:after="100"/>
      </w:pPr>
      <w:r>
        <w:rPr>
          <w:lang w:val="de-DE"/>
        </w:rPr>
        <w:t xml:space="preserve">Wittgenstein, Ludwig, 1953. </w:t>
      </w:r>
      <w:r>
        <w:rPr>
          <w:i/>
          <w:iCs/>
        </w:rPr>
        <w:t>Philosophical Investigations</w:t>
      </w:r>
      <w:r>
        <w:rPr>
          <w:lang w:val="nl-NL"/>
        </w:rPr>
        <w:t>. M.A: Blackwell.</w:t>
      </w:r>
    </w:p>
    <w:p w:rsidR="004911DF" w:rsidRDefault="004911DF">
      <w:pPr>
        <w:pStyle w:val="BodyA"/>
        <w:spacing w:before="100" w:after="100"/>
      </w:pPr>
    </w:p>
    <w:p w:rsidR="004911DF" w:rsidRDefault="004911DF">
      <w:pPr>
        <w:pStyle w:val="BodyA"/>
        <w:spacing w:before="100" w:after="100"/>
      </w:pPr>
    </w:p>
    <w:sectPr w:rsidR="004911DF">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254" w:rsidRDefault="003B3254">
      <w:r>
        <w:separator/>
      </w:r>
    </w:p>
  </w:endnote>
  <w:endnote w:type="continuationSeparator" w:id="0">
    <w:p w:rsidR="003B3254" w:rsidRDefault="003B3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Times New Roman Bold">
    <w:panose1 w:val="020208030705050203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BE" w:rsidRDefault="00B05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1DF" w:rsidRDefault="004911DF">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BE" w:rsidRDefault="00B05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254" w:rsidRDefault="003B3254">
      <w:r>
        <w:separator/>
      </w:r>
    </w:p>
  </w:footnote>
  <w:footnote w:type="continuationSeparator" w:id="0">
    <w:p w:rsidR="003B3254" w:rsidRDefault="003B3254">
      <w:r>
        <w:continuationSeparator/>
      </w:r>
    </w:p>
  </w:footnote>
  <w:footnote w:type="continuationNotice" w:id="1">
    <w:p w:rsidR="003B3254" w:rsidRDefault="003B3254"/>
  </w:footnote>
  <w:footnote w:id="2">
    <w:p w:rsidR="004911DF" w:rsidRDefault="003B3254">
      <w:pPr>
        <w:pStyle w:val="FootnoteText"/>
      </w:pPr>
      <w:r>
        <w:rPr>
          <w:sz w:val="24"/>
          <w:szCs w:val="24"/>
          <w:vertAlign w:val="superscript"/>
        </w:rPr>
        <w:footnoteRef/>
      </w:r>
      <w:r>
        <w:rPr>
          <w:rFonts w:eastAsia="Arial Unicode MS" w:hAnsi="Arial Unicode MS" w:cs="Arial Unicode MS"/>
        </w:rPr>
        <w:t xml:space="preserve"> </w:t>
      </w:r>
      <w:proofErr w:type="spellStart"/>
      <w:r>
        <w:rPr>
          <w:rFonts w:eastAsia="Arial Unicode MS" w:hAnsi="Arial Unicode MS" w:cs="Arial Unicode MS"/>
        </w:rPr>
        <w:t>Ayalolo</w:t>
      </w:r>
      <w:proofErr w:type="spellEnd"/>
      <w:r>
        <w:rPr>
          <w:rFonts w:eastAsia="Arial Unicode MS" w:hAnsi="Arial Unicode MS" w:cs="Arial Unicode MS"/>
        </w:rPr>
        <w:t xml:space="preserve"> in Ga means </w:t>
      </w:r>
      <w:r>
        <w:rPr>
          <w:rFonts w:hAnsi="Arial Unicode MS"/>
        </w:rPr>
        <w:t>“</w:t>
      </w:r>
      <w:r>
        <w:rPr>
          <w:rFonts w:eastAsia="Arial Unicode MS" w:hAnsi="Arial Unicode MS" w:cs="Arial Unicode MS"/>
        </w:rPr>
        <w:t>we are still going</w:t>
      </w:r>
      <w:r>
        <w:rPr>
          <w:rFonts w:hAnsi="Arial Unicode MS"/>
        </w:rPr>
        <w:t>”</w:t>
      </w:r>
      <w:r>
        <w:rPr>
          <w:rFonts w:eastAsia="Arial Unicode MS" w:hAnsi="Arial Unicode MS" w:cs="Arial Unicode MS"/>
        </w:rPr>
        <w:t>. This is p</w:t>
      </w:r>
      <w:r>
        <w:rPr>
          <w:rFonts w:eastAsia="Arial Unicode MS" w:hAnsi="Arial Unicode MS" w:cs="Arial Unicode MS"/>
        </w:rPr>
        <w:t>erhaps due to the fact that the settlement was not supposed to be a permanent one, but a transient 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BE" w:rsidRDefault="00B05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1DF" w:rsidRPr="00B058BE" w:rsidRDefault="004911DF" w:rsidP="00B058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BE" w:rsidRDefault="00B05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C3C"/>
    <w:multiLevelType w:val="multilevel"/>
    <w:tmpl w:val="DAEABBF0"/>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06D43343"/>
    <w:multiLevelType w:val="multilevel"/>
    <w:tmpl w:val="93F46C94"/>
    <w:lvl w:ilvl="0">
      <w:start w:val="1"/>
      <w:numFmt w:val="decimal"/>
      <w:lvlText w:val="%1."/>
      <w:lvlJc w:val="left"/>
      <w:pPr>
        <w:tabs>
          <w:tab w:val="num" w:pos="114"/>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abstractNum w:abstractNumId="2" w15:restartNumberingAfterBreak="0">
    <w:nsid w:val="0A1D1E20"/>
    <w:multiLevelType w:val="multilevel"/>
    <w:tmpl w:val="B60C8F0C"/>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4"/>
        </w:tabs>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abstractNum w:abstractNumId="3" w15:restartNumberingAfterBreak="0">
    <w:nsid w:val="0F1E365A"/>
    <w:multiLevelType w:val="multilevel"/>
    <w:tmpl w:val="976C9A7E"/>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 w15:restartNumberingAfterBreak="0">
    <w:nsid w:val="14687E30"/>
    <w:multiLevelType w:val="multilevel"/>
    <w:tmpl w:val="795657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15:restartNumberingAfterBreak="0">
    <w:nsid w:val="16C12371"/>
    <w:multiLevelType w:val="multilevel"/>
    <w:tmpl w:val="D76C070E"/>
    <w:styleLink w:val="List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4"/>
        </w:tabs>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abstractNum w:abstractNumId="6" w15:restartNumberingAfterBreak="0">
    <w:nsid w:val="2420080D"/>
    <w:multiLevelType w:val="multilevel"/>
    <w:tmpl w:val="31B2044A"/>
    <w:styleLink w:val="List1"/>
    <w:lvl w:ilvl="0">
      <w:start w:val="1"/>
      <w:numFmt w:val="decimal"/>
      <w:lvlText w:val="%1."/>
      <w:lvlJc w:val="left"/>
      <w:pPr>
        <w:tabs>
          <w:tab w:val="num" w:pos="114"/>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abstractNum w:abstractNumId="7" w15:restartNumberingAfterBreak="0">
    <w:nsid w:val="5073024C"/>
    <w:multiLevelType w:val="multilevel"/>
    <w:tmpl w:val="77A682FE"/>
    <w:styleLink w:val="List21"/>
    <w:lvl w:ilvl="0">
      <w:start w:val="1"/>
      <w:numFmt w:val="decimal"/>
      <w:lvlText w:val="%1."/>
      <w:lvlJc w:val="left"/>
      <w:pPr>
        <w:tabs>
          <w:tab w:val="num" w:pos="114"/>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abstractNum w:abstractNumId="8" w15:restartNumberingAfterBreak="0">
    <w:nsid w:val="789D61A7"/>
    <w:multiLevelType w:val="multilevel"/>
    <w:tmpl w:val="26BA1E3A"/>
    <w:lvl w:ilvl="0">
      <w:start w:val="1"/>
      <w:numFmt w:val="decimal"/>
      <w:lvlText w:val="%1."/>
      <w:lvlJc w:val="left"/>
      <w:pPr>
        <w:tabs>
          <w:tab w:val="num" w:pos="114"/>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4"/>
        </w:tabs>
      </w:pPr>
      <w:rPr>
        <w:position w:val="0"/>
        <w:sz w:val="24"/>
        <w:szCs w:val="24"/>
        <w:rtl w:val="0"/>
        <w:lang w:val="en-US"/>
      </w:rPr>
    </w:lvl>
    <w:lvl w:ilvl="3">
      <w:start w:val="1"/>
      <w:numFmt w:val="decimal"/>
      <w:lvlText w:val="%4."/>
      <w:lvlJc w:val="left"/>
      <w:pPr>
        <w:tabs>
          <w:tab w:val="num" w:pos="114"/>
        </w:tabs>
      </w:pPr>
      <w:rPr>
        <w:position w:val="0"/>
        <w:sz w:val="24"/>
        <w:szCs w:val="24"/>
        <w:rtl w:val="0"/>
        <w:lang w:val="en-US"/>
      </w:rPr>
    </w:lvl>
    <w:lvl w:ilvl="4">
      <w:start w:val="1"/>
      <w:numFmt w:val="lowerLetter"/>
      <w:lvlText w:val="%5."/>
      <w:lvlJc w:val="left"/>
      <w:pPr>
        <w:tabs>
          <w:tab w:val="num" w:pos="114"/>
        </w:tabs>
      </w:pPr>
      <w:rPr>
        <w:position w:val="0"/>
        <w:sz w:val="24"/>
        <w:szCs w:val="24"/>
        <w:rtl w:val="0"/>
        <w:lang w:val="en-US"/>
      </w:rPr>
    </w:lvl>
    <w:lvl w:ilvl="5">
      <w:start w:val="1"/>
      <w:numFmt w:val="lowerRoman"/>
      <w:lvlText w:val="%6."/>
      <w:lvlJc w:val="left"/>
      <w:pPr>
        <w:tabs>
          <w:tab w:val="num" w:pos="114"/>
        </w:tabs>
      </w:pPr>
      <w:rPr>
        <w:position w:val="0"/>
        <w:sz w:val="24"/>
        <w:szCs w:val="24"/>
        <w:rtl w:val="0"/>
        <w:lang w:val="en-US"/>
      </w:rPr>
    </w:lvl>
    <w:lvl w:ilvl="6">
      <w:start w:val="1"/>
      <w:numFmt w:val="decimal"/>
      <w:lvlText w:val="%7."/>
      <w:lvlJc w:val="left"/>
      <w:pPr>
        <w:tabs>
          <w:tab w:val="num" w:pos="114"/>
        </w:tabs>
      </w:pPr>
      <w:rPr>
        <w:position w:val="0"/>
        <w:sz w:val="24"/>
        <w:szCs w:val="24"/>
        <w:rtl w:val="0"/>
        <w:lang w:val="en-US"/>
      </w:rPr>
    </w:lvl>
    <w:lvl w:ilvl="7">
      <w:start w:val="1"/>
      <w:numFmt w:val="lowerLetter"/>
      <w:lvlText w:val="%8."/>
      <w:lvlJc w:val="left"/>
      <w:pPr>
        <w:tabs>
          <w:tab w:val="num" w:pos="114"/>
        </w:tabs>
      </w:pPr>
      <w:rPr>
        <w:position w:val="0"/>
        <w:sz w:val="24"/>
        <w:szCs w:val="24"/>
        <w:rtl w:val="0"/>
        <w:lang w:val="en-US"/>
      </w:rPr>
    </w:lvl>
    <w:lvl w:ilvl="8">
      <w:start w:val="1"/>
      <w:numFmt w:val="lowerRoman"/>
      <w:lvlText w:val="%9."/>
      <w:lvlJc w:val="left"/>
      <w:pPr>
        <w:tabs>
          <w:tab w:val="num" w:pos="114"/>
        </w:tabs>
      </w:pPr>
      <w:rPr>
        <w:position w:val="0"/>
        <w:sz w:val="24"/>
        <w:szCs w:val="24"/>
        <w:rtl w:val="0"/>
        <w:lang w:val="en-US"/>
      </w:rPr>
    </w:lvl>
  </w:abstractNum>
  <w:num w:numId="1">
    <w:abstractNumId w:val="2"/>
  </w:num>
  <w:num w:numId="2">
    <w:abstractNumId w:val="4"/>
  </w:num>
  <w:num w:numId="3">
    <w:abstractNumId w:val="5"/>
  </w:num>
  <w:num w:numId="4">
    <w:abstractNumId w:val="8"/>
  </w:num>
  <w:num w:numId="5">
    <w:abstractNumId w:val="3"/>
  </w:num>
  <w:num w:numId="6">
    <w:abstractNumId w:val="6"/>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20"/>
  <w:autoHyphenation/>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DF"/>
    <w:rsid w:val="003B3254"/>
    <w:rsid w:val="004911DF"/>
    <w:rsid w:val="00B058BE"/>
    <w:rsid w:val="00C155F7"/>
    <w:rsid w:val="00C5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rPr>
      <w:rFonts w:hAnsi="Arial Unicode MS" w:cs="Arial Unicode MS"/>
      <w:color w:val="000000"/>
      <w:sz w:val="24"/>
      <w:szCs w:val="24"/>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
    <w:name w:val="Body A"/>
    <w:rPr>
      <w:rFonts w:hAnsi="Arial Unicode MS" w:cs="Arial Unicode MS"/>
      <w:color w:val="000000"/>
      <w:sz w:val="24"/>
      <w:szCs w:val="24"/>
      <w:u w:color="000000"/>
    </w:rPr>
  </w:style>
  <w:style w:type="paragraph" w:customStyle="1" w:styleId="BodyAA">
    <w:name w:val="Body A A"/>
    <w:pPr>
      <w:spacing w:after="160" w:line="259" w:lineRule="auto"/>
    </w:pPr>
    <w:rPr>
      <w:rFonts w:ascii="Calibri" w:eastAsia="Calibri" w:hAnsi="Calibri" w:cs="Calibri"/>
      <w:color w:val="000000"/>
      <w:sz w:val="22"/>
      <w:szCs w:val="22"/>
      <w:u w:color="000000"/>
    </w:rPr>
  </w:style>
  <w:style w:type="paragraph" w:styleId="Header">
    <w:name w:val="header"/>
    <w:basedOn w:val="Normal"/>
    <w:link w:val="HeaderChar"/>
    <w:uiPriority w:val="99"/>
    <w:unhideWhenUsed/>
    <w:rsid w:val="00B058BE"/>
    <w:pPr>
      <w:tabs>
        <w:tab w:val="center" w:pos="4703"/>
        <w:tab w:val="right" w:pos="9406"/>
      </w:tabs>
    </w:pPr>
  </w:style>
  <w:style w:type="character" w:customStyle="1" w:styleId="HeaderChar">
    <w:name w:val="Header Char"/>
    <w:basedOn w:val="DefaultParagraphFont"/>
    <w:link w:val="Header"/>
    <w:uiPriority w:val="99"/>
    <w:rsid w:val="00B058BE"/>
    <w:rPr>
      <w:sz w:val="24"/>
      <w:szCs w:val="24"/>
    </w:rPr>
  </w:style>
  <w:style w:type="paragraph" w:styleId="Footer">
    <w:name w:val="footer"/>
    <w:basedOn w:val="Normal"/>
    <w:link w:val="FooterChar"/>
    <w:uiPriority w:val="99"/>
    <w:unhideWhenUsed/>
    <w:rsid w:val="00B058BE"/>
    <w:pPr>
      <w:tabs>
        <w:tab w:val="center" w:pos="4703"/>
        <w:tab w:val="right" w:pos="9406"/>
      </w:tabs>
    </w:pPr>
  </w:style>
  <w:style w:type="character" w:customStyle="1" w:styleId="FooterChar">
    <w:name w:val="Footer Char"/>
    <w:basedOn w:val="DefaultParagraphFont"/>
    <w:link w:val="Footer"/>
    <w:uiPriority w:val="99"/>
    <w:rsid w:val="00B058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nguisticsociety.org/resource/multilingualis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asha.org/polic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7477</Words>
  <Characters>42623</Characters>
  <Application>Microsoft Office Word</Application>
  <DocSecurity>0</DocSecurity>
  <Lines>355</Lines>
  <Paragraphs>99</Paragraphs>
  <ScaleCrop>false</ScaleCrop>
  <Company/>
  <LinksUpToDate>false</LinksUpToDate>
  <CharactersWithSpaces>50001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2016-05-03T16:13:00Z</dcterms:created>
  <dcterms:modified xsi:type="dcterms:W3CDTF">2016-05-03T16:16:00Z</dcterms:modified>
</cp:coreProperties>
</file>