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IKA DIALECT PEDAGOGY: A SURVEY OF ATTITUDES FROM IKA SOUTH </w:t>
      </w:r>
      <w:r>
        <w:rPr>
          <w:b w:val="1"/>
          <w:sz w:val="24"/>
          <w:szCs w:val="24"/>
          <w:rFonts w:ascii="Times New Roman" w:hAnsi="Times New Roman" w:cs="Times New Roman"/>
        </w:rPr>
        <w:t xml:space="preserve">LGA.OF DELTA STATE, NIGERIA.</w:t>
      </w:r>
    </w:p>
    <w:p>
      <w:pPr>
        <w:jc w:val="center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>By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>XXXXXXXXXX</w:t>
      </w:r>
      <w:r>
        <w:rPr>
          <w:sz w:val="24"/>
          <w:szCs w:val="24"/>
          <w:rFonts w:ascii="Times New Roman" w:hAnsi="Times New Roman" w:cs="Times New Roman"/>
        </w:rPr>
        <w:t xml:space="preserve">&amp; </w:t>
      </w:r>
      <w:r>
        <w:rPr>
          <w:sz w:val="24"/>
          <w:szCs w:val="24"/>
          <w:rFonts w:ascii="Times New Roman" w:hAnsi="Times New Roman" w:cs="Times New Roman"/>
        </w:rPr>
        <w:t>XXXXXXX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Department of Linguistics Studies,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University of Benin.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fldChar w:fldCharType="begin"/>
      </w:r>
      <w:r>
        <w:instrText xml:space="preserve">HYPERLINK "mailto:ighasere.aigbedo@uniben.edu"</w:instrText>
      </w:r>
      <w:r>
        <w:fldChar w:fldCharType="separate"/>
      </w:r>
      <w:r>
        <w:rPr>
          <w:rStyle w:val="PO154"/>
          <w:sz w:val="24"/>
          <w:szCs w:val="24"/>
          <w:rFonts w:ascii="Times New Roman" w:hAnsi="Times New Roman" w:cs="Times New Roman"/>
        </w:rPr>
        <w:t>i</w:t>
      </w:r>
      <w:r>
        <w:rPr>
          <w:rStyle w:val="PO154"/>
          <w:sz w:val="24"/>
          <w:szCs w:val="24"/>
          <w:rFonts w:ascii="Times New Roman" w:hAnsi="Times New Roman" w:cs="Times New Roman"/>
        </w:rPr>
        <w:t>g</w:t>
      </w:r>
      <w:r>
        <w:rPr>
          <w:rStyle w:val="PO154"/>
          <w:sz w:val="24"/>
          <w:szCs w:val="24"/>
          <w:rFonts w:ascii="Times New Roman" w:hAnsi="Times New Roman" w:cs="Times New Roman"/>
        </w:rPr>
        <w:t>h</w:t>
      </w:r>
      <w:r>
        <w:rPr>
          <w:rStyle w:val="PO154"/>
          <w:sz w:val="24"/>
          <w:szCs w:val="24"/>
          <w:rFonts w:ascii="Times New Roman" w:hAnsi="Times New Roman" w:cs="Times New Roman"/>
        </w:rPr>
        <w:t>a</w:t>
      </w:r>
      <w:r>
        <w:rPr>
          <w:rStyle w:val="PO154"/>
          <w:sz w:val="24"/>
          <w:szCs w:val="24"/>
          <w:rFonts w:ascii="Times New Roman" w:hAnsi="Times New Roman" w:cs="Times New Roman"/>
        </w:rPr>
        <w:t>s</w:t>
      </w:r>
      <w:r>
        <w:rPr>
          <w:rStyle w:val="PO154"/>
          <w:sz w:val="24"/>
          <w:szCs w:val="24"/>
          <w:rFonts w:ascii="Times New Roman" w:hAnsi="Times New Roman" w:cs="Times New Roman"/>
        </w:rPr>
        <w:t>e</w:t>
      </w:r>
      <w:r>
        <w:rPr>
          <w:rStyle w:val="PO154"/>
          <w:sz w:val="24"/>
          <w:szCs w:val="24"/>
          <w:rFonts w:ascii="Times New Roman" w:hAnsi="Times New Roman" w:cs="Times New Roman"/>
        </w:rPr>
        <w:t>r</w:t>
      </w:r>
      <w:r>
        <w:rPr>
          <w:rStyle w:val="PO154"/>
          <w:sz w:val="24"/>
          <w:szCs w:val="24"/>
          <w:rFonts w:ascii="Times New Roman" w:hAnsi="Times New Roman" w:cs="Times New Roman"/>
        </w:rPr>
        <w:t>e</w:t>
      </w:r>
      <w:r>
        <w:rPr>
          <w:rStyle w:val="PO154"/>
          <w:sz w:val="24"/>
          <w:szCs w:val="24"/>
          <w:rFonts w:ascii="Times New Roman" w:hAnsi="Times New Roman" w:cs="Times New Roman"/>
        </w:rPr>
        <w:t>.</w:t>
      </w:r>
      <w:r>
        <w:rPr>
          <w:rStyle w:val="PO154"/>
          <w:sz w:val="24"/>
          <w:szCs w:val="24"/>
          <w:rFonts w:ascii="Times New Roman" w:hAnsi="Times New Roman" w:cs="Times New Roman"/>
        </w:rPr>
        <w:t>a</w:t>
      </w:r>
      <w:r>
        <w:rPr>
          <w:rStyle w:val="PO154"/>
          <w:sz w:val="24"/>
          <w:szCs w:val="24"/>
          <w:rFonts w:ascii="Times New Roman" w:hAnsi="Times New Roman" w:cs="Times New Roman"/>
        </w:rPr>
        <w:t>i</w:t>
      </w:r>
      <w:r>
        <w:rPr>
          <w:rStyle w:val="PO154"/>
          <w:sz w:val="24"/>
          <w:szCs w:val="24"/>
          <w:rFonts w:ascii="Times New Roman" w:hAnsi="Times New Roman" w:cs="Times New Roman"/>
        </w:rPr>
        <w:t>g</w:t>
      </w:r>
      <w:r>
        <w:rPr>
          <w:rStyle w:val="PO154"/>
          <w:sz w:val="24"/>
          <w:szCs w:val="24"/>
          <w:rFonts w:ascii="Times New Roman" w:hAnsi="Times New Roman" w:cs="Times New Roman"/>
        </w:rPr>
        <w:t>b</w:t>
      </w:r>
      <w:r>
        <w:rPr>
          <w:rStyle w:val="PO154"/>
          <w:sz w:val="24"/>
          <w:szCs w:val="24"/>
          <w:rFonts w:ascii="Times New Roman" w:hAnsi="Times New Roman" w:cs="Times New Roman"/>
        </w:rPr>
        <w:t>e</w:t>
      </w:r>
      <w:r>
        <w:rPr>
          <w:rStyle w:val="PO154"/>
          <w:sz w:val="24"/>
          <w:szCs w:val="24"/>
          <w:rFonts w:ascii="Times New Roman" w:hAnsi="Times New Roman" w:cs="Times New Roman"/>
        </w:rPr>
        <w:t>d</w:t>
      </w:r>
      <w:r>
        <w:rPr>
          <w:rStyle w:val="PO154"/>
          <w:sz w:val="24"/>
          <w:szCs w:val="24"/>
          <w:rFonts w:ascii="Times New Roman" w:hAnsi="Times New Roman" w:cs="Times New Roman"/>
        </w:rPr>
        <w:t>o</w:t>
      </w:r>
      <w:r>
        <w:rPr>
          <w:rStyle w:val="PO154"/>
          <w:sz w:val="24"/>
          <w:szCs w:val="24"/>
          <w:rFonts w:ascii="Times New Roman" w:hAnsi="Times New Roman" w:cs="Times New Roman"/>
        </w:rPr>
        <w:t>@</w:t>
      </w:r>
      <w:r>
        <w:rPr>
          <w:rStyle w:val="PO154"/>
          <w:sz w:val="24"/>
          <w:szCs w:val="24"/>
          <w:rFonts w:ascii="Times New Roman" w:hAnsi="Times New Roman" w:cs="Times New Roman"/>
        </w:rPr>
        <w:t>u</w:t>
      </w:r>
      <w:r>
        <w:rPr>
          <w:rStyle w:val="PO154"/>
          <w:sz w:val="24"/>
          <w:szCs w:val="24"/>
          <w:rFonts w:ascii="Times New Roman" w:hAnsi="Times New Roman" w:cs="Times New Roman"/>
        </w:rPr>
        <w:t>n</w:t>
      </w:r>
      <w:r>
        <w:rPr>
          <w:rStyle w:val="PO154"/>
          <w:sz w:val="24"/>
          <w:szCs w:val="24"/>
          <w:rFonts w:ascii="Times New Roman" w:hAnsi="Times New Roman" w:cs="Times New Roman"/>
        </w:rPr>
        <w:t>i</w:t>
      </w:r>
      <w:r>
        <w:rPr>
          <w:rStyle w:val="PO154"/>
          <w:sz w:val="24"/>
          <w:szCs w:val="24"/>
          <w:rFonts w:ascii="Times New Roman" w:hAnsi="Times New Roman" w:cs="Times New Roman"/>
        </w:rPr>
        <w:t>b</w:t>
      </w:r>
      <w:r>
        <w:rPr>
          <w:rStyle w:val="PO154"/>
          <w:sz w:val="24"/>
          <w:szCs w:val="24"/>
          <w:rFonts w:ascii="Times New Roman" w:hAnsi="Times New Roman" w:cs="Times New Roman"/>
        </w:rPr>
        <w:t>e</w:t>
      </w:r>
      <w:r>
        <w:rPr>
          <w:rStyle w:val="PO154"/>
          <w:sz w:val="24"/>
          <w:szCs w:val="24"/>
          <w:rFonts w:ascii="Times New Roman" w:hAnsi="Times New Roman" w:cs="Times New Roman"/>
        </w:rPr>
        <w:t>n</w:t>
      </w:r>
      <w:r>
        <w:rPr>
          <w:rStyle w:val="PO154"/>
          <w:sz w:val="24"/>
          <w:szCs w:val="24"/>
          <w:rFonts w:ascii="Times New Roman" w:hAnsi="Times New Roman" w:cs="Times New Roman"/>
        </w:rPr>
        <w:t>.</w:t>
      </w:r>
      <w:r>
        <w:rPr>
          <w:rStyle w:val="PO154"/>
          <w:sz w:val="24"/>
          <w:szCs w:val="24"/>
          <w:rFonts w:ascii="Times New Roman" w:hAnsi="Times New Roman" w:cs="Times New Roman"/>
        </w:rPr>
        <w:t>e</w:t>
      </w:r>
      <w:r>
        <w:rPr>
          <w:rStyle w:val="PO154"/>
          <w:sz w:val="24"/>
          <w:szCs w:val="24"/>
          <w:rFonts w:ascii="Times New Roman" w:hAnsi="Times New Roman" w:cs="Times New Roman"/>
        </w:rPr>
        <w:t>d</w:t>
      </w:r>
      <w:r>
        <w:rPr>
          <w:rStyle w:val="PO154"/>
          <w:sz w:val="24"/>
          <w:szCs w:val="24"/>
          <w:rFonts w:ascii="Times New Roman" w:hAnsi="Times New Roman" w:cs="Times New Roman"/>
        </w:rPr>
        <w:t>u</w:t>
      </w:r>
      <w:r>
        <w:rPr>
          <w:sz w:val="24"/>
          <w:szCs w:val="24"/>
          <w:rFonts w:ascii="Times New Roman" w:hAnsi="Times New Roman" w:cs="Times New Roman"/>
        </w:rPr>
        <w:fldChar w:fldCharType="end"/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Abstract</w:t>
      </w:r>
    </w:p>
    <w:p>
      <w:pPr>
        <w:jc w:val="both"/>
        <w:spacing w:lineRule="auto" w:line="360" w:after="0"/>
        <w:ind w:firstLine="720"/>
        <w:rPr>
          <w:i w:val="1"/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The IKA DIALECT is the language of the immediate environment in Ika North East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and Ika South Local Government Areas of Delta State. However, the language is under-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utilized in both formal and informal settings. English, Pidgin and Igbo Languages dominate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most of the informal discourse while the IKA DIALECT is not taught as a subject in few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secondary schools. The study investigated the vitality of the IKA DIALECT with a view to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ascertaining the prestige and the danger of extinction of the language. Thus the work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accounted for the prospects or possibilities of adopting Ika as a language of wider use for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education in the Ika-speaking areas of Delta State. The present study employed data obtained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through both primary and secondary methods. The former consisted of the use of a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questionnaire distributed to several secondary schools (to both students and teachers) in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eleven (11) schools, in Ika North Local Government Area of Delta State. The questionnaires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were structured in a way that the research questions which motivated the present studies were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covered. The questions asked centred on the role of the IKA DIALECT in contemporary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societies and the emerging trends in language attitude. These questions were motivated by the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increasing debate about the status of indigenous languages and their revival in the face of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increasing Westernization and Pidginization. The information collected from respondents was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distributed in a frequency table using method of simple statistical evaluation. The study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observed that IKA DIALECT is highly endangered by the general preference by its speakers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for English and Pidgin in the Ika North Local Government Area. It was observed that there is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 general negative attitude towards the IKA DIALECT from the students, their teachers and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even their parents and the government of the day.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Keywords: </w:t>
      </w:r>
      <w:r>
        <w:rPr>
          <w:sz w:val="24"/>
          <w:szCs w:val="24"/>
          <w:rFonts w:ascii="Times New Roman" w:hAnsi="Times New Roman" w:cs="Times New Roman"/>
        </w:rPr>
        <w:t xml:space="preserve">IKA DIALECT, Pedagogy, Attitudes, Mother-tongue and Language Contact.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</w:rPr>
        <w:t>1.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>Introduction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The concept 'attitude' is defined as the way in which a person thinks (cognitive </w:t>
      </w:r>
      <w:r>
        <w:rPr>
          <w:sz w:val="24"/>
          <w:szCs w:val="24"/>
          <w:rFonts w:ascii="Times New Roman" w:hAnsi="Times New Roman" w:cs="Times New Roman"/>
        </w:rPr>
        <w:t xml:space="preserve">component), feels (affective component) and intends to behave (behavioral component) </w:t>
      </w:r>
      <w:r>
        <w:rPr>
          <w:sz w:val="24"/>
          <w:szCs w:val="24"/>
          <w:rFonts w:ascii="Times New Roman" w:hAnsi="Times New Roman" w:cs="Times New Roman"/>
        </w:rPr>
        <w:t xml:space="preserve">towards something. It is the summation of the three components that is emphasized for </w:t>
      </w:r>
      <w:r>
        <w:rPr>
          <w:sz w:val="24"/>
          <w:szCs w:val="24"/>
          <w:rFonts w:ascii="Times New Roman" w:hAnsi="Times New Roman" w:cs="Times New Roman"/>
        </w:rPr>
        <w:t xml:space="preserve">determining the overall attitude and not a particular component (Rajecki, 1982:33). Attitude </w:t>
      </w:r>
      <w:r>
        <w:rPr>
          <w:sz w:val="24"/>
          <w:szCs w:val="24"/>
          <w:rFonts w:ascii="Times New Roman" w:hAnsi="Times New Roman" w:cs="Times New Roman"/>
        </w:rPr>
        <w:t xml:space="preserve">is thus one of the fundamental ways/channel for evaluating the psychological reaction to a </w:t>
      </w:r>
      <w:r>
        <w:rPr>
          <w:sz w:val="24"/>
          <w:szCs w:val="24"/>
          <w:rFonts w:ascii="Times New Roman" w:hAnsi="Times New Roman" w:cs="Times New Roman"/>
        </w:rPr>
        <w:t xml:space="preserve">phenomenon (whether positive or negative).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This work was borne out of the observed and feared endangered status of Nigerian </w:t>
      </w:r>
      <w:r>
        <w:rPr>
          <w:sz w:val="24"/>
          <w:szCs w:val="24"/>
          <w:rFonts w:ascii="Times New Roman" w:hAnsi="Times New Roman" w:cs="Times New Roman"/>
        </w:rPr>
        <w:t xml:space="preserve">languages (Ika in this case) in the face of stiff competition from English, Pidgin and major </w:t>
      </w:r>
      <w:r>
        <w:rPr>
          <w:sz w:val="24"/>
          <w:szCs w:val="24"/>
          <w:rFonts w:ascii="Times New Roman" w:hAnsi="Times New Roman" w:cs="Times New Roman"/>
        </w:rPr>
        <w:t xml:space="preserve">indigenous languages like Yoruba, Igbo and Hausa. One of the designed avenues of </w:t>
      </w:r>
      <w:r>
        <w:rPr>
          <w:sz w:val="24"/>
          <w:szCs w:val="24"/>
          <w:rFonts w:ascii="Times New Roman" w:hAnsi="Times New Roman" w:cs="Times New Roman"/>
        </w:rPr>
        <w:t xml:space="preserve">indigenous languages revitalization is through the teaching of these languages which in turn </w:t>
      </w:r>
      <w:r>
        <w:rPr>
          <w:sz w:val="24"/>
          <w:szCs w:val="24"/>
          <w:rFonts w:ascii="Times New Roman" w:hAnsi="Times New Roman" w:cs="Times New Roman"/>
        </w:rPr>
        <w:t xml:space="preserve">is based on the modernization and standardization of the languages concerned. One of the </w:t>
      </w:r>
      <w:r>
        <w:rPr>
          <w:sz w:val="24"/>
          <w:szCs w:val="24"/>
          <w:rFonts w:ascii="Times New Roman" w:hAnsi="Times New Roman" w:cs="Times New Roman"/>
        </w:rPr>
        <w:t xml:space="preserve">essential ways of languages preservation is by documentation. It is a fact that Nigeria is one </w:t>
      </w:r>
      <w:r>
        <w:rPr>
          <w:sz w:val="24"/>
          <w:szCs w:val="24"/>
          <w:rFonts w:ascii="Times New Roman" w:hAnsi="Times New Roman" w:cs="Times New Roman"/>
        </w:rPr>
        <w:t xml:space="preserve">of the linguistic crossroads of Africa as a result of the approximately 500 or more languages </w:t>
      </w:r>
      <w:r>
        <w:rPr>
          <w:sz w:val="24"/>
          <w:szCs w:val="24"/>
          <w:rFonts w:ascii="Times New Roman" w:hAnsi="Times New Roman" w:cs="Times New Roman"/>
        </w:rPr>
        <w:t xml:space="preserve">in the country (Ogunsiji, 2012). There exists a lot of competitiveness between these </w:t>
      </w:r>
      <w:r>
        <w:rPr>
          <w:sz w:val="24"/>
          <w:szCs w:val="24"/>
          <w:rFonts w:ascii="Times New Roman" w:hAnsi="Times New Roman" w:cs="Times New Roman"/>
        </w:rPr>
        <w:t xml:space="preserve">languages with some actually having the upper hand over others. The result of this </w:t>
      </w:r>
      <w:r>
        <w:rPr>
          <w:sz w:val="24"/>
          <w:szCs w:val="24"/>
          <w:rFonts w:ascii="Times New Roman" w:hAnsi="Times New Roman" w:cs="Times New Roman"/>
        </w:rPr>
        <w:t xml:space="preserve">unfavourable linguistic situation is a general tendency for the so called minority languages </w:t>
      </w:r>
      <w:r>
        <w:rPr>
          <w:sz w:val="24"/>
          <w:szCs w:val="24"/>
          <w:rFonts w:ascii="Times New Roman" w:hAnsi="Times New Roman" w:cs="Times New Roman"/>
        </w:rPr>
        <w:t xml:space="preserve">like Ika in the present study to be endangered. This in turn raised the need for its </w:t>
      </w:r>
      <w:r>
        <w:rPr>
          <w:sz w:val="24"/>
          <w:szCs w:val="24"/>
          <w:rFonts w:ascii="Times New Roman" w:hAnsi="Times New Roman" w:cs="Times New Roman"/>
        </w:rPr>
        <w:t xml:space="preserve">revitalization by modernization and popularization. 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present study therefore examines the challenges facing a minority language like </w:t>
      </w:r>
      <w:r>
        <w:rPr>
          <w:sz w:val="24"/>
          <w:szCs w:val="24"/>
          <w:rFonts w:ascii="Times New Roman" w:hAnsi="Times New Roman" w:cs="Times New Roman"/>
        </w:rPr>
        <w:t xml:space="preserve">Ika in an increasingly competitive Nigeria (linguistically) and the possible ways of </w:t>
      </w:r>
      <w:r>
        <w:rPr>
          <w:sz w:val="24"/>
          <w:szCs w:val="24"/>
          <w:rFonts w:ascii="Times New Roman" w:hAnsi="Times New Roman" w:cs="Times New Roman"/>
        </w:rPr>
        <w:t xml:space="preserve">revitalizing it for the sake of progeny. The study will appraise this linguistic situation from </w:t>
      </w:r>
      <w:r>
        <w:rPr>
          <w:sz w:val="24"/>
          <w:szCs w:val="24"/>
          <w:rFonts w:ascii="Times New Roman" w:hAnsi="Times New Roman" w:cs="Times New Roman"/>
        </w:rPr>
        <w:t xml:space="preserve">the background of general attitude and approaches to the learning and teaching of this </w:t>
      </w:r>
      <w:r>
        <w:rPr>
          <w:sz w:val="24"/>
          <w:szCs w:val="24"/>
          <w:rFonts w:ascii="Times New Roman" w:hAnsi="Times New Roman" w:cs="Times New Roman"/>
        </w:rPr>
        <w:t xml:space="preserve">language in schools (secondary) in the Ika North East Local Government Area of Delta State </w:t>
      </w:r>
      <w:r>
        <w:rPr>
          <w:sz w:val="24"/>
          <w:szCs w:val="24"/>
          <w:rFonts w:ascii="Times New Roman" w:hAnsi="Times New Roman" w:cs="Times New Roman"/>
        </w:rPr>
        <w:t xml:space="preserve">and suggest possible ways for revitalizing the language.</w:t>
      </w:r>
    </w:p>
    <w:p>
      <w:pPr>
        <w:jc w:val="both"/>
        <w:spacing w:lineRule="auto" w:line="36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Ika people are one of the people inhabiting the North Eastern Part of Delta State. </w:t>
      </w:r>
      <w:r>
        <w:rPr>
          <w:sz w:val="24"/>
          <w:szCs w:val="24"/>
          <w:rFonts w:ascii="Times New Roman" w:hAnsi="Times New Roman" w:cs="Times New Roman"/>
        </w:rPr>
        <w:t xml:space="preserve">The Ika people number around 240,000 according to the Joshua project (2012) ‘Great </w:t>
      </w:r>
      <w:r>
        <w:rPr>
          <w:sz w:val="24"/>
          <w:szCs w:val="24"/>
          <w:rFonts w:ascii="Times New Roman" w:hAnsi="Times New Roman" w:cs="Times New Roman"/>
        </w:rPr>
        <w:t xml:space="preserve">Commission Status of the Igbo Cluster’. They share linguistic borders with the Edo people to </w:t>
      </w:r>
      <w:r>
        <w:rPr>
          <w:sz w:val="24"/>
          <w:szCs w:val="24"/>
          <w:rFonts w:ascii="Times New Roman" w:hAnsi="Times New Roman" w:cs="Times New Roman"/>
        </w:rPr>
        <w:t xml:space="preserve">the west. The Esan people to the North, the Anioma people to the East and the Ukwuani </w:t>
      </w:r>
      <w:r>
        <w:rPr>
          <w:sz w:val="24"/>
          <w:szCs w:val="24"/>
          <w:rFonts w:ascii="Times New Roman" w:hAnsi="Times New Roman" w:cs="Times New Roman"/>
        </w:rPr>
        <w:t xml:space="preserve">people to the South and West. The Ika people are distributed into two local government areas: </w:t>
      </w:r>
    </w:p>
    <w:p>
      <w:pPr>
        <w:pStyle w:val="PO26"/>
        <w:numPr>
          <w:ilvl w:val="0"/>
          <w:numId w:val="1"/>
        </w:num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Ika South-West and </w:t>
      </w:r>
    </w:p>
    <w:p>
      <w:pPr>
        <w:pStyle w:val="PO26"/>
        <w:numPr>
          <w:ilvl w:val="0"/>
          <w:numId w:val="1"/>
        </w:num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Ika North –East</w:t>
      </w:r>
    </w:p>
    <w:p>
      <w:pPr>
        <w:jc w:val="both"/>
        <w:spacing w:lineRule="auto" w:line="36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There are equally twelve clans associated with the people as follows: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Agbor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Owa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Abavo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Ute-okpu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Ute – ogbeje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Umenede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Akumazi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Igbodo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Otolokpo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Mbiri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Idumesah clan </w:t>
      </w:r>
    </w:p>
    <w:p>
      <w:pPr>
        <w:pStyle w:val="PO26"/>
        <w:numPr>
          <w:ilvl w:val="0"/>
          <w:numId w:val="2"/>
        </w:numPr>
        <w:jc w:val="both"/>
        <w:spacing w:lineRule="auto" w:line="360"/>
        <w:ind w:left="720" w:hanging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Orogodo/Boji-Boji 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According to Williamson (1968), Ika is a dialect of Igbo language and belongs to the </w:t>
      </w:r>
      <w:r>
        <w:rPr>
          <w:sz w:val="24"/>
          <w:szCs w:val="24"/>
          <w:rFonts w:ascii="Times New Roman" w:hAnsi="Times New Roman" w:cs="Times New Roman"/>
        </w:rPr>
        <w:t xml:space="preserve">Igboid group. This she claimed was because it has no noticeable difference from the general </w:t>
      </w:r>
      <w:r>
        <w:rPr>
          <w:sz w:val="24"/>
          <w:szCs w:val="24"/>
          <w:rFonts w:ascii="Times New Roman" w:hAnsi="Times New Roman" w:cs="Times New Roman"/>
        </w:rPr>
        <w:t xml:space="preserve">Igbo language spoken within the Anioma area. She equally acknowledged that the Ika dialect </w:t>
      </w:r>
      <w:r>
        <w:rPr>
          <w:sz w:val="24"/>
          <w:szCs w:val="24"/>
          <w:rFonts w:ascii="Times New Roman" w:hAnsi="Times New Roman" w:cs="Times New Roman"/>
        </w:rPr>
        <w:t xml:space="preserve">(by her hypothesis) is a mixture of Igbo and Edo which actually suggests that it is the </w:t>
      </w:r>
      <w:r>
        <w:rPr>
          <w:sz w:val="24"/>
          <w:szCs w:val="24"/>
          <w:rFonts w:ascii="Times New Roman" w:hAnsi="Times New Roman" w:cs="Times New Roman"/>
        </w:rPr>
        <w:t xml:space="preserve">influence of proximity with the AniochaOshimili and Edo groups.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There exist structural similarities between these groups. It is therefore necessary to </w:t>
      </w:r>
      <w:r>
        <w:rPr>
          <w:sz w:val="24"/>
          <w:szCs w:val="24"/>
          <w:rFonts w:ascii="Times New Roman" w:hAnsi="Times New Roman" w:cs="Times New Roman"/>
        </w:rPr>
        <w:t xml:space="preserve">perceive the Ika as a language as part of a general linguistic distribution that may have </w:t>
      </w:r>
      <w:r>
        <w:rPr>
          <w:sz w:val="24"/>
          <w:szCs w:val="24"/>
          <w:rFonts w:ascii="Times New Roman" w:hAnsi="Times New Roman" w:cs="Times New Roman"/>
        </w:rPr>
        <w:t xml:space="preserve">characterised southern Nigeria as asserted by Afigbo (1987). Ika will therefore be conceived </w:t>
      </w:r>
      <w:r>
        <w:rPr>
          <w:sz w:val="24"/>
          <w:szCs w:val="24"/>
          <w:rFonts w:ascii="Times New Roman" w:hAnsi="Times New Roman" w:cs="Times New Roman"/>
        </w:rPr>
        <w:t xml:space="preserve">of under the present study as a language with affiliations to Igbo and not necessarily a dialect </w:t>
      </w:r>
      <w:r>
        <w:rPr>
          <w:sz w:val="24"/>
          <w:szCs w:val="24"/>
          <w:rFonts w:ascii="Times New Roman" w:hAnsi="Times New Roman" w:cs="Times New Roman"/>
        </w:rPr>
        <w:t xml:space="preserve">as claimed by Williamson and supported by Blench and Dendo (2004).</w:t>
      </w:r>
    </w:p>
    <w:p>
      <w:pPr>
        <w:jc w:val="both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2.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>Literatures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In this section, the concepts of attitudes, language contact and mother tongue will be </w:t>
      </w:r>
      <w:r>
        <w:rPr>
          <w:sz w:val="24"/>
          <w:szCs w:val="24"/>
          <w:rFonts w:ascii="Times New Roman" w:hAnsi="Times New Roman" w:cs="Times New Roman"/>
        </w:rPr>
        <w:t xml:space="preserve">reviewed from the perspectives of different authors. These are concepts associated with the </w:t>
      </w:r>
      <w:r>
        <w:rPr>
          <w:sz w:val="24"/>
          <w:szCs w:val="24"/>
          <w:rFonts w:ascii="Times New Roman" w:hAnsi="Times New Roman" w:cs="Times New Roman"/>
        </w:rPr>
        <w:t xml:space="preserve">issues of a language’s vitality and its adoption for certain official communicative functions in </w:t>
      </w:r>
      <w:r>
        <w:rPr>
          <w:sz w:val="24"/>
          <w:szCs w:val="24"/>
          <w:rFonts w:ascii="Times New Roman" w:hAnsi="Times New Roman" w:cs="Times New Roman"/>
        </w:rPr>
        <w:t xml:space="preserve">the society.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2.1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>Attitudes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concept 'attitude' is defined as the way in which a person thinks (cognitive </w:t>
      </w:r>
      <w:r>
        <w:rPr>
          <w:sz w:val="24"/>
          <w:szCs w:val="24"/>
          <w:rFonts w:ascii="Times New Roman" w:hAnsi="Times New Roman" w:cs="Times New Roman"/>
        </w:rPr>
        <w:t xml:space="preserve">component) feels (affective component) and intends to behave (behavioural component) </w:t>
      </w:r>
      <w:r>
        <w:rPr>
          <w:sz w:val="24"/>
          <w:szCs w:val="24"/>
          <w:rFonts w:ascii="Times New Roman" w:hAnsi="Times New Roman" w:cs="Times New Roman"/>
        </w:rPr>
        <w:t xml:space="preserve">towards something. It is the summation of thethree components that is emphasized for </w:t>
      </w:r>
      <w:r>
        <w:rPr>
          <w:sz w:val="24"/>
          <w:szCs w:val="24"/>
          <w:rFonts w:ascii="Times New Roman" w:hAnsi="Times New Roman" w:cs="Times New Roman"/>
        </w:rPr>
        <w:t xml:space="preserve">determining the overall attitudeand not a particular component (Rajecki, 1982:33).Modifying </w:t>
      </w:r>
      <w:r>
        <w:rPr>
          <w:sz w:val="24"/>
          <w:szCs w:val="24"/>
          <w:rFonts w:ascii="Times New Roman" w:hAnsi="Times New Roman" w:cs="Times New Roman"/>
        </w:rPr>
        <w:t xml:space="preserve">one's attitude and assumptions is not an easy matter and thoseheld in respect of language are </w:t>
      </w:r>
      <w:r>
        <w:rPr>
          <w:sz w:val="24"/>
          <w:szCs w:val="24"/>
          <w:rFonts w:ascii="Times New Roman" w:hAnsi="Times New Roman" w:cs="Times New Roman"/>
        </w:rPr>
        <w:t xml:space="preserve">held more tenaciously because many ofthem have been acquired as a result of growing up in </w:t>
      </w:r>
      <w:r>
        <w:rPr>
          <w:sz w:val="24"/>
          <w:szCs w:val="24"/>
          <w:rFonts w:ascii="Times New Roman" w:hAnsi="Times New Roman" w:cs="Times New Roman"/>
        </w:rPr>
        <w:t xml:space="preserve">a particularcommunity or as part of acquiring the language itself. They are a veryintimate </w:t>
      </w:r>
      <w:r>
        <w:rPr>
          <w:sz w:val="24"/>
          <w:szCs w:val="24"/>
          <w:rFonts w:ascii="Times New Roman" w:hAnsi="Times New Roman" w:cs="Times New Roman"/>
        </w:rPr>
        <w:t xml:space="preserve">part of people's way of viewing the world. Therefore, argumentsmust be put forward for a </w:t>
      </w:r>
      <w:r>
        <w:rPr>
          <w:sz w:val="24"/>
          <w:szCs w:val="24"/>
          <w:rFonts w:ascii="Times New Roman" w:hAnsi="Times New Roman" w:cs="Times New Roman"/>
        </w:rPr>
        <w:t xml:space="preserve">new perspective in such a way that people willnot feel that their existing attitudes and </w:t>
      </w:r>
      <w:r>
        <w:rPr>
          <w:sz w:val="24"/>
          <w:szCs w:val="24"/>
          <w:rFonts w:ascii="Times New Roman" w:hAnsi="Times New Roman" w:cs="Times New Roman"/>
        </w:rPr>
        <w:t xml:space="preserve">assumptions are under attack andtherefore need defending, but be encouraged to rethink them </w:t>
      </w:r>
      <w:r>
        <w:rPr>
          <w:sz w:val="24"/>
          <w:szCs w:val="24"/>
          <w:rFonts w:ascii="Times New Roman" w:hAnsi="Times New Roman" w:cs="Times New Roman"/>
        </w:rPr>
        <w:t xml:space="preserve">in the light ofnew understanding the language study has to offer (Doughty andThomton, </w:t>
      </w:r>
      <w:r>
        <w:rPr>
          <w:sz w:val="24"/>
          <w:szCs w:val="24"/>
          <w:rFonts w:ascii="Times New Roman" w:hAnsi="Times New Roman" w:cs="Times New Roman"/>
        </w:rPr>
        <w:t>1973:19).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2.2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 xml:space="preserve">Language Contact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According to Weinreich (1953) ''one of the goals of contact linguistics is to predict </w:t>
      </w:r>
      <w:r>
        <w:rPr>
          <w:sz w:val="24"/>
          <w:szCs w:val="24"/>
          <w:rFonts w:ascii="Times New Roman" w:hAnsi="Times New Roman" w:cs="Times New Roman"/>
        </w:rPr>
        <w:t xml:space="preserve">typical forms of interference from the socioliguistic description of a bilingual community and </w:t>
      </w:r>
      <w:r>
        <w:rPr>
          <w:sz w:val="24"/>
          <w:szCs w:val="24"/>
          <w:rFonts w:ascii="Times New Roman" w:hAnsi="Times New Roman" w:cs="Times New Roman"/>
        </w:rPr>
        <w:t xml:space="preserve">a structural description of its languages''. Contact linguistics as a frame work is able to </w:t>
      </w:r>
      <w:r>
        <w:rPr>
          <w:sz w:val="24"/>
          <w:szCs w:val="24"/>
          <w:rFonts w:ascii="Times New Roman" w:hAnsi="Times New Roman" w:cs="Times New Roman"/>
        </w:rPr>
        <w:t xml:space="preserve">account for reasons why languages come in contact and the effects of language contact.                                                                                                  </w:t>
      </w:r>
      <w:r>
        <w:rPr>
          <w:sz w:val="24"/>
          <w:szCs w:val="24"/>
          <w:rFonts w:ascii="Times New Roman" w:hAnsi="Times New Roman" w:cs="Times New Roman"/>
        </w:rPr>
        <w:t xml:space="preserve">Language contact generally defined as a situation when two or more languages are in </w:t>
      </w:r>
      <w:r>
        <w:rPr>
          <w:sz w:val="24"/>
          <w:szCs w:val="24"/>
          <w:rFonts w:ascii="Times New Roman" w:hAnsi="Times New Roman" w:cs="Times New Roman"/>
        </w:rPr>
        <w:t xml:space="preserve">contiguity (close together or in the same area). The language using individuals are the locus </w:t>
      </w:r>
      <w:r>
        <w:rPr>
          <w:sz w:val="24"/>
          <w:szCs w:val="24"/>
          <w:rFonts w:ascii="Times New Roman" w:hAnsi="Times New Roman" w:cs="Times New Roman"/>
        </w:rPr>
        <w:t xml:space="preserve">of the contact. When speakers of different languages interact closely, it is typical for their </w:t>
      </w:r>
      <w:r>
        <w:rPr>
          <w:sz w:val="24"/>
          <w:szCs w:val="24"/>
          <w:rFonts w:ascii="Times New Roman" w:hAnsi="Times New Roman" w:cs="Times New Roman"/>
        </w:rPr>
        <w:t xml:space="preserve">languages to influence each other.  Language contact can occur at language borders, between </w:t>
      </w:r>
      <w:r>
        <w:rPr>
          <w:sz w:val="24"/>
          <w:szCs w:val="24"/>
          <w:rFonts w:ascii="Times New Roman" w:hAnsi="Times New Roman" w:cs="Times New Roman"/>
        </w:rPr>
        <w:t xml:space="preserve">adstratum languages, or as a result of migration, with an instructive language acting as either </w:t>
      </w:r>
      <w:r>
        <w:rPr>
          <w:sz w:val="24"/>
          <w:szCs w:val="24"/>
          <w:rFonts w:ascii="Times New Roman" w:hAnsi="Times New Roman" w:cs="Times New Roman"/>
        </w:rPr>
        <w:t xml:space="preserve">a superstratum or a sub-stratum.  Language contact occurs in a variety of phenomena </w:t>
      </w:r>
      <w:r>
        <w:rPr>
          <w:sz w:val="24"/>
          <w:szCs w:val="24"/>
          <w:rFonts w:ascii="Times New Roman" w:hAnsi="Times New Roman" w:cs="Times New Roman"/>
        </w:rPr>
        <w:t xml:space="preserve">including language convergence, borrowing, interference and reflexification. 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The most common products of language contact are pidgins, creoles, code-switching </w:t>
      </w:r>
      <w:r>
        <w:rPr>
          <w:sz w:val="24"/>
          <w:szCs w:val="24"/>
          <w:rFonts w:ascii="Times New Roman" w:hAnsi="Times New Roman" w:cs="Times New Roman"/>
        </w:rPr>
        <w:t xml:space="preserve">and mixed languages. Language contact has taken place as a result of social inequality, wars, </w:t>
      </w:r>
      <w:r>
        <w:rPr>
          <w:sz w:val="24"/>
          <w:szCs w:val="24"/>
          <w:rFonts w:ascii="Times New Roman" w:hAnsi="Times New Roman" w:cs="Times New Roman"/>
        </w:rPr>
        <w:t xml:space="preserve">conquest, colonialism, slavery, urbanization, trade and migration. Some of the effects of </w:t>
      </w:r>
      <w:r>
        <w:rPr>
          <w:sz w:val="24"/>
          <w:szCs w:val="24"/>
          <w:rFonts w:ascii="Times New Roman" w:hAnsi="Times New Roman" w:cs="Times New Roman"/>
        </w:rPr>
        <w:t xml:space="preserve">language contact has being short lived in some areas or communities while in some areas , </w:t>
      </w:r>
      <w:r>
        <w:rPr>
          <w:sz w:val="24"/>
          <w:szCs w:val="24"/>
          <w:rFonts w:ascii="Times New Roman" w:hAnsi="Times New Roman" w:cs="Times New Roman"/>
        </w:rPr>
        <w:t xml:space="preserve">the effects has remained permanent. Makey (1983) notes “All languages are contact </w:t>
      </w:r>
      <w:r>
        <w:rPr>
          <w:sz w:val="24"/>
          <w:szCs w:val="24"/>
          <w:rFonts w:ascii="Times New Roman" w:hAnsi="Times New Roman" w:cs="Times New Roman"/>
        </w:rPr>
        <w:t xml:space="preserve">languages.  For purposes of contact linguistic classification, we need another notion than </w:t>
      </w:r>
      <w:r>
        <w:rPr>
          <w:sz w:val="24"/>
          <w:szCs w:val="24"/>
          <w:rFonts w:ascii="Times New Roman" w:hAnsi="Times New Roman" w:cs="Times New Roman"/>
        </w:rPr>
        <w:t xml:space="preserve">“mixing” or inter-winning”. Languages have been influenced at one time or another by </w:t>
      </w:r>
      <w:r>
        <w:rPr>
          <w:sz w:val="24"/>
          <w:szCs w:val="24"/>
          <w:rFonts w:ascii="Times New Roman" w:hAnsi="Times New Roman" w:cs="Times New Roman"/>
        </w:rPr>
        <w:t xml:space="preserve">contact with other languages.</w:t>
      </w:r>
    </w:p>
    <w:p>
      <w:pPr>
        <w:jc w:val="both"/>
        <w:spacing w:lineRule="auto" w:line="360" w:after="0"/>
        <w:tabs>
          <w:tab w:val="left" w:pos="232"/>
          <w:tab w:val="left" w:pos="292"/>
        </w:tabs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</w:rPr>
        <w:t>2.3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>MotherTongue</w:t>
      </w:r>
    </w:p>
    <w:p>
      <w:pPr>
        <w:jc w:val="both"/>
        <w:spacing w:lineRule="auto" w:line="360" w:after="0"/>
        <w:tabs>
          <w:tab w:val="left" w:pos="232"/>
          <w:tab w:val="left" w:pos="292"/>
          <w:tab w:val="left" w:pos="637"/>
        </w:tabs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The mother tongue which is also known as the native language, first language, arterial </w:t>
      </w:r>
      <w:r>
        <w:rPr>
          <w:sz w:val="24"/>
          <w:szCs w:val="24"/>
          <w:rFonts w:ascii="Times New Roman" w:hAnsi="Times New Roman" w:cs="Times New Roman"/>
        </w:rPr>
        <w:t xml:space="preserve">language or L1 is the language(s) a person has acquire from birth or within the critical period, </w:t>
      </w:r>
      <w:r>
        <w:rPr>
          <w:sz w:val="24"/>
          <w:szCs w:val="24"/>
          <w:rFonts w:ascii="Times New Roman" w:hAnsi="Times New Roman" w:cs="Times New Roman"/>
        </w:rPr>
        <w:t xml:space="preserve">or that a person speaks the best and so it is often the basis of sociolinguistic ability. Every </w:t>
      </w:r>
      <w:r>
        <w:rPr>
          <w:sz w:val="24"/>
          <w:szCs w:val="24"/>
          <w:rFonts w:ascii="Times New Roman" w:hAnsi="Times New Roman" w:cs="Times New Roman"/>
        </w:rPr>
        <w:t xml:space="preserve">normal child when exposed to the language spoken in his or her environment will speak and </w:t>
      </w:r>
      <w:r>
        <w:rPr>
          <w:sz w:val="24"/>
          <w:szCs w:val="24"/>
          <w:rFonts w:ascii="Times New Roman" w:hAnsi="Times New Roman" w:cs="Times New Roman"/>
        </w:rPr>
        <w:t xml:space="preserve">understand this language by age four or five. This first language which the child is exposed to </w:t>
      </w:r>
      <w:r>
        <w:rPr>
          <w:sz w:val="24"/>
          <w:szCs w:val="24"/>
          <w:rFonts w:ascii="Times New Roman" w:hAnsi="Times New Roman" w:cs="Times New Roman"/>
        </w:rPr>
        <w:t xml:space="preserve">is what we call the "mother tongue". Every child is born into a cultural environment and </w:t>
      </w:r>
      <w:r>
        <w:rPr>
          <w:sz w:val="24"/>
          <w:szCs w:val="24"/>
          <w:rFonts w:ascii="Times New Roman" w:hAnsi="Times New Roman" w:cs="Times New Roman"/>
        </w:rPr>
        <w:t xml:space="preserve">because of this, the acquisition of his mother tongue is part of the process by which a child </w:t>
      </w:r>
      <w:r>
        <w:rPr>
          <w:sz w:val="24"/>
          <w:szCs w:val="24"/>
          <w:rFonts w:ascii="Times New Roman" w:hAnsi="Times New Roman" w:cs="Times New Roman"/>
        </w:rPr>
        <w:t xml:space="preserve">absorbs the cultural environment. He will, therefore, find it difficult to grasp any new concept </w:t>
      </w:r>
      <w:r>
        <w:rPr>
          <w:sz w:val="24"/>
          <w:szCs w:val="24"/>
          <w:rFonts w:ascii="Times New Roman" w:hAnsi="Times New Roman" w:cs="Times New Roman"/>
        </w:rPr>
        <w:t xml:space="preserve">which is so alien to his or her cultural environment that he cannot readily find expression in </w:t>
      </w:r>
      <w:r>
        <w:rPr>
          <w:sz w:val="24"/>
          <w:szCs w:val="24"/>
          <w:rFonts w:ascii="Times New Roman" w:hAnsi="Times New Roman" w:cs="Times New Roman"/>
        </w:rPr>
        <w:t xml:space="preserve">his mother tongue.  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Curry (1958:76) argues that competence in the usage of mother tongue is necessary </w:t>
      </w:r>
      <w:r>
        <w:rPr>
          <w:sz w:val="24"/>
          <w:szCs w:val="24"/>
          <w:rFonts w:ascii="Times New Roman" w:hAnsi="Times New Roman" w:cs="Times New Roman"/>
        </w:rPr>
        <w:t xml:space="preserve">for the acquisition of knowledge in a given discipline. Curry (1958) further states that the </w:t>
      </w:r>
      <w:r>
        <w:rPr>
          <w:sz w:val="24"/>
          <w:szCs w:val="24"/>
          <w:rFonts w:ascii="Times New Roman" w:hAnsi="Times New Roman" w:cs="Times New Roman"/>
        </w:rPr>
        <w:t xml:space="preserve">mother tongue is the medium in which much of our thinking is carried out, improvement in </w:t>
      </w:r>
      <w:r>
        <w:rPr>
          <w:sz w:val="24"/>
          <w:szCs w:val="24"/>
          <w:rFonts w:ascii="Times New Roman" w:hAnsi="Times New Roman" w:cs="Times New Roman"/>
        </w:rPr>
        <w:t xml:space="preserve">using the corresponding to the mother tongue ensures improvement in thinking. Therefore, </w:t>
      </w:r>
      <w:r>
        <w:rPr>
          <w:sz w:val="24"/>
          <w:szCs w:val="24"/>
          <w:rFonts w:ascii="Times New Roman" w:hAnsi="Times New Roman" w:cs="Times New Roman"/>
        </w:rPr>
        <w:t xml:space="preserve">the mother tongue is the child's most valuable social instrument. Mother tongue has a very </w:t>
      </w:r>
      <w:r>
        <w:rPr>
          <w:sz w:val="24"/>
          <w:szCs w:val="24"/>
          <w:rFonts w:ascii="Times New Roman" w:hAnsi="Times New Roman" w:cs="Times New Roman"/>
        </w:rPr>
        <w:t xml:space="preserve">important role to play as a medium of instruction for most of the school subjects. It can be a </w:t>
      </w:r>
      <w:r>
        <w:rPr>
          <w:sz w:val="24"/>
          <w:szCs w:val="24"/>
          <w:rFonts w:ascii="Times New Roman" w:hAnsi="Times New Roman" w:cs="Times New Roman"/>
        </w:rPr>
        <w:t xml:space="preserve">powerful instrument for the explanation and formulation of knowledge even for junior pupils.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Knowledge expressed in indigenous language is fundamental and therefore more useful, than </w:t>
      </w:r>
      <w:r>
        <w:rPr>
          <w:sz w:val="24"/>
          <w:szCs w:val="24"/>
          <w:rFonts w:ascii="Times New Roman" w:hAnsi="Times New Roman" w:cs="Times New Roman"/>
        </w:rPr>
        <w:t xml:space="preserve">knowledge expressed in general or in imprecise language. It is also more clearly understood </w:t>
      </w:r>
      <w:r>
        <w:rPr>
          <w:sz w:val="24"/>
          <w:szCs w:val="24"/>
          <w:rFonts w:ascii="Times New Roman" w:hAnsi="Times New Roman" w:cs="Times New Roman"/>
        </w:rPr>
        <w:t xml:space="preserve">and more perfectly remembered (Curry, Ibid).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  <w:lang w:bidi="th-TH"/>
        </w:rPr>
        <w:t>2.4</w:t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ab/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 xml:space="preserve">Language Attitudes In The Area Of Social Psychology</w:t>
      </w:r>
    </w:p>
    <w:p>
      <w:pPr>
        <w:jc w:val="both"/>
        <w:spacing w:lineRule="auto" w:line="360" w:after="0"/>
        <w:ind w:firstLine="720"/>
        <w:rPr>
          <w:i w:val="1"/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While it is essential to recognise the multiplicity of existing traditions in 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language 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attitude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research, it is generally acknowledged that much of the work in the areadraws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specifically on the social psychology of language (see Baker 1992; Giles et al.1987). This is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perhaps not surprising given that the term 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attitude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itself is whatEdwards (1994: 97) describes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as ‘the cornerstone of traditional social psychology’.As Baker (1992: 11) points out, the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incorporation of the term into the area of socialpsychology can be traced to Allport’s (1935)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classic definition in which he describes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 attitude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as :</w:t>
      </w:r>
    </w:p>
    <w:p>
      <w:pPr>
        <w:jc w:val="both"/>
        <w:spacing w:lineRule="auto" w:line="360" w:after="0"/>
        <w:ind w:left="1440" w:firstLine="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a mental or neural state of readiness, organised through</w:t>
      </w:r>
    </w:p>
    <w:p>
      <w:pPr>
        <w:jc w:val="both"/>
        <w:spacing w:lineRule="auto" w:line="360" w:after="0"/>
        <w:ind w:left="1440" w:firstLine="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experience, exerting a directive or dynamic influence upon the</w:t>
      </w:r>
    </w:p>
    <w:p>
      <w:pPr>
        <w:jc w:val="both"/>
        <w:spacing w:lineRule="auto" w:line="360" w:after="0"/>
        <w:ind w:left="1440" w:firstLine="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individual’s response to all objects and situations with which it is</w:t>
      </w:r>
    </w:p>
    <w:p>
      <w:pPr>
        <w:jc w:val="both"/>
        <w:spacing w:lineRule="auto" w:line="360" w:after="0"/>
        <w:ind w:left="1440" w:firstLine="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related (cited in Baker 1992: 11).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Since this initial contribution, the use of the term has proliferated and the concept of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‘attitude’ is, according to Allport (1985: 35), ‘probably the most distinctive and indispensable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concept in contemporary (American) social psychology’. However, despite its popularity,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even within the core discipline of social psychology, there is no general agreement on its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definition as an examination of any text of social psychology will demonstrate (Edwards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1982: 20). Amongst the countless definitions which have been formulated, one of the most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widely used is that offered by Fishbein and Ajzen (1975: 6) who define 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attitude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as a learned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predisposition to respond in a consistently favourable or unfavourable manner with respect to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 given object.According to this definition, an attitude is not innate but ‘learned’ through a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socialisation process which begins in early childhood and, as Allport’s (1935) definition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highlights, is ‘organised through experience’ within the social world. This means that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attitudes are not fixed but are instead constantly fluctuating and shifting according to their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social environment; hence the name given to the science in which attitudes are generally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studied - </w:t>
      </w:r>
      <w:r>
        <w:rPr>
          <w:i w:val="1"/>
          <w:sz w:val="24"/>
          <w:szCs w:val="24"/>
          <w:rFonts w:ascii="Times New Roman" w:hAnsi="Times New Roman" w:cs="Times New Roman"/>
          <w:lang w:bidi="th-TH"/>
        </w:rPr>
        <w:t xml:space="preserve">social psychology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which draws on both sociology and psychology.</w:t>
      </w:r>
    </w:p>
    <w:p>
      <w:pPr>
        <w:jc w:val="both"/>
        <w:spacing w:lineRule="auto" w:line="360" w:before="240" w:after="0"/>
        <w:rPr>
          <w:b w:val="1"/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  <w:lang w:bidi="th-TH"/>
        </w:rPr>
        <w:t>2.5</w:t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ab/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 xml:space="preserve"> Socio-Psychological Approach to Language Attitudes</w:t>
      </w:r>
    </w:p>
    <w:p>
      <w:pPr>
        <w:jc w:val="both"/>
        <w:spacing w:lineRule="auto" w:line="360" w:before="24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While noting that no single definition of attitude carries universal approval, Fishbein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and Ajzen’s (1975: 6) definition of the concept as a learned ‘predisposition to act in a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favourable or unfavourable way towards an object’ provides a useful starting point. In the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case of language attitudes, which is what concerns us here, the ‘object’ towards which such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predispositions are held is language. However, language attitude studies are seldom confined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to language itself and are more often extended to include attitudes towards speakers of a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particular language or variety as well as a range of language-relevant ‘objects’ such as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language maintenance and shift, planning efforts, linguistic policies, language use. Ryan et al.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(1982: 7) define language attitudes as ‘any affective, cognitive or behavioural index of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evaluative reactions toward different language varieties or their speakers’. Adegbija (2000)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views language attitudes from a broad perspective: which accommodates evaluative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judgements made about a language or its variety, its speakers, towards efforts at promoting,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maintaining or planning a language, or even towards learning it (Adegbija 2000: 77).</w:t>
      </w:r>
    </w:p>
    <w:p>
      <w:pPr>
        <w:jc w:val="both"/>
        <w:spacing w:lineRule="auto" w:line="360"/>
        <w:ind w:firstLine="720"/>
        <w:rPr>
          <w:sz w:val="24"/>
          <w:szCs w:val="24"/>
          <w:rFonts w:ascii="Times New Roman" w:hAnsi="Times New Roman" w:cs="Times New Roman"/>
          <w:lang w:bidi="th-TH"/>
        </w:rPr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Such language-relevant ‘objects’ can be further extended to include language relevant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‘institutions’ and language-relevant ‘events’ in line with Ajzen’s (1988: 4) definition of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attitude as ‘a disposition to respond favorably or unfavorably to an object, person, institution,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or event’. Language attitude is therefore what Baker (1992: 29) describes as an ‘umbrella’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term under which resides a variety of specific attitudes. Indeed Giles et al’s (1983) review of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the literature in the area of language attitudes highlights the extensive range within which the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term can be understood, which includes: language evaluation (how favourably a variety is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viewed), language preference (e.g., which of two languages or varieties is preferred for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certain purposes in certain situations), desirability and reasons for learning a particular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language, evaluation of social groups who use a particular variety, self-reports concerning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language use, desirability of bilingualism and bilingual education, and opinions concerning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shifting or maintaining language policies (Giles et al. 1983: 83).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  <w:lang w:bidi="th-TH"/>
        </w:rPr>
        <w:t>3.</w:t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ab/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 xml:space="preserve"> Language Attitudes as Predicating Language Behaviour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It is generally agreed that the survival of a language depends on the degree to which it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is used by members of a community (Fishman 1976, 1991). It thus follows that the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behavioural dimension of language attitudes is of most interest in the studies concerning the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future of lesser-used or minority languages. However, understanding and measuring this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behavioural dimension has also proven most problematic. In the area of social psychology,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attitude-behaviour relations have been a major concern for many years and, although several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experiments have been carried out with the aim of analysing the complex relationship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between people’s attitudes and their behaviours (Wicker 1969), the conclusions are far from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unanimous. Cohen (1964: 138), for example, says that in most work on attitude-behaviour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relations, ‘attitudes are always seen as precursors of behaviour, as determinants of how a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person will actually behave in his daily affairs’, but LaPiere’s frequently cited study (1934)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provided counter-evidence (He concluded, for example, that the attitudes overtly expressed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by U.S. hotel managers in terms of serving a Chinese couple were often inconsistent with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their actual behaviour). Likewise, Wicker (1969: 65), who provides a detailed review of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attitude-behaviour research, argues that ‘it is considerably more likely that attitudes will be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unrelated or only slightly related to overt behaviours than that attitudes will be closely related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to actions’. Within the social psychology of language, experiments have been used to analyse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the complex relationship between language attitudes and language behaviour (see Bourhis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and Giles 1976; Kristiansen and Giles 1992; Fishman 1969; Ladegaard 2000) but, as with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those in the core discipline of social psychology, conclusions are not unanimous.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  <w:lang w:bidi="th-TH"/>
        </w:rPr>
        <w:t xml:space="preserve">The lack of consensus, conceptual difficulties in defining the term and subsequently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building on theory brought attitude research under severe criticism regarding its role and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utility in predicting and explaining human behaviour (Wicker 1969; McGuire 1969).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Behaviourist models especially question the role of attitude research and suggest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concentration on actual behaviour rather than ‘behavioural intentions’. Thus, there was and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continues to be a growing tendency to question the ability to predict action from attitude or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indeed attitudes from action. These criticisms are also to be found in language attitude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research and the mismatch between language attitudes and behaviour has led some writers to </w:t>
      </w:r>
      <w:r>
        <w:rPr>
          <w:sz w:val="24"/>
          <w:szCs w:val="24"/>
          <w:rFonts w:ascii="Times New Roman" w:hAnsi="Times New Roman" w:cs="Times New Roman"/>
          <w:lang w:bidi="th-TH"/>
        </w:rPr>
        <w:t xml:space="preserve">suggest by-passing language attitudes altogether and studying language use directly (Boyd </w:t>
      </w:r>
      <w:r>
        <w:rPr>
          <w:sz w:val="24"/>
          <w:szCs w:val="24"/>
          <w:rFonts w:ascii="Times New Roman" w:hAnsi="Times New Roman" w:cs="Times New Roman"/>
          <w:lang w:bidi="th-TH"/>
        </w:rPr>
        <w:t>1985).</w:t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  <w:lang w:bidi="th-TH"/>
        </w:rPr>
        <w:autoSpaceDE w:val="0"/>
        <w:autoSpaceDN w:val="0"/>
      </w:pPr>
    </w:p>
    <w:p>
      <w:pPr>
        <w:jc w:val="both"/>
        <w:spacing w:lineRule="auto" w:line="360"/>
        <w:rPr>
          <w:b w:val="1"/>
          <w:sz w:val="24"/>
          <w:szCs w:val="24"/>
          <w:rFonts w:ascii="Times New Roman" w:hAnsi="Times New Roman" w:cs="Times New Roman"/>
          <w:lang w:bidi="th-TH"/>
        </w:rPr>
      </w:pPr>
      <w:r>
        <w:rPr>
          <w:b w:val="1"/>
          <w:sz w:val="24"/>
          <w:szCs w:val="24"/>
          <w:rFonts w:ascii="Times New Roman" w:hAnsi="Times New Roman" w:cs="Times New Roman"/>
          <w:lang w:bidi="th-TH"/>
        </w:rPr>
        <w:t>4.</w:t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ab/>
      </w:r>
      <w:r>
        <w:rPr>
          <w:b w:val="1"/>
          <w:sz w:val="24"/>
          <w:szCs w:val="24"/>
          <w:rFonts w:ascii="Times New Roman" w:hAnsi="Times New Roman" w:cs="Times New Roman"/>
          <w:lang w:bidi="th-TH"/>
        </w:rPr>
        <w:t>Methodology</w:t>
      </w:r>
    </w:p>
    <w:p>
      <w:pPr>
        <w:jc w:val="both"/>
        <w:spacing w:lineRule="auto" w:line="36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In this study, two sets of questionnaires were constructed, one for each group </w:t>
      </w:r>
      <w:r>
        <w:rPr>
          <w:sz w:val="24"/>
          <w:szCs w:val="24"/>
          <w:rFonts w:ascii="Times New Roman" w:hAnsi="Times New Roman" w:cs="Times New Roman"/>
        </w:rPr>
        <w:t xml:space="preserve">(teachers and students). The reason is that different information was needed from each group </w:t>
      </w:r>
      <w:r>
        <w:rPr>
          <w:sz w:val="24"/>
          <w:szCs w:val="24"/>
          <w:rFonts w:ascii="Times New Roman" w:hAnsi="Times New Roman" w:cs="Times New Roman"/>
        </w:rPr>
        <w:t xml:space="preserve">of respondents.The questionnaire-survey instrument was used primarily due to the fact that it </w:t>
      </w:r>
      <w:r>
        <w:rPr>
          <w:sz w:val="24"/>
          <w:szCs w:val="24"/>
          <w:rFonts w:ascii="Times New Roman" w:hAnsi="Times New Roman" w:cs="Times New Roman"/>
        </w:rPr>
        <w:t xml:space="preserve">is an inexpensive method for obtaining data. There was also the added advantage of blocking </w:t>
      </w:r>
      <w:r>
        <w:rPr>
          <w:sz w:val="24"/>
          <w:szCs w:val="24"/>
          <w:rFonts w:ascii="Times New Roman" w:hAnsi="Times New Roman" w:cs="Times New Roman"/>
        </w:rPr>
        <w:t xml:space="preserve">information manipulation and bias. Its’ confidentiality makes it possible for respondents to </w:t>
      </w:r>
      <w:r>
        <w:rPr>
          <w:sz w:val="24"/>
          <w:szCs w:val="24"/>
          <w:rFonts w:ascii="Times New Roman" w:hAnsi="Times New Roman" w:cs="Times New Roman"/>
        </w:rPr>
        <w:t xml:space="preserve">reveal important information about themselves and the issues being discussed without any </w:t>
      </w:r>
      <w:r>
        <w:rPr>
          <w:sz w:val="24"/>
          <w:szCs w:val="24"/>
          <w:rFonts w:ascii="Times New Roman" w:hAnsi="Times New Roman" w:cs="Times New Roman"/>
        </w:rPr>
        <w:t xml:space="preserve">reservation. The questionnaire-survey instrument was used primarily due to the fact that it is </w:t>
      </w:r>
      <w:r>
        <w:rPr>
          <w:sz w:val="24"/>
          <w:szCs w:val="24"/>
          <w:rFonts w:ascii="Times New Roman" w:hAnsi="Times New Roman" w:cs="Times New Roman"/>
        </w:rPr>
        <w:t xml:space="preserve">an inexpensive method for obtaining data. There was also the added advantage of blocking </w:t>
      </w:r>
      <w:r>
        <w:rPr>
          <w:sz w:val="24"/>
          <w:szCs w:val="24"/>
          <w:rFonts w:ascii="Times New Roman" w:hAnsi="Times New Roman" w:cs="Times New Roman"/>
        </w:rPr>
        <w:t xml:space="preserve">information manipulation and bias. Its’ confidentiality makes it possible for respondents to </w:t>
      </w:r>
      <w:r>
        <w:rPr>
          <w:sz w:val="24"/>
          <w:szCs w:val="24"/>
          <w:rFonts w:ascii="Times New Roman" w:hAnsi="Times New Roman" w:cs="Times New Roman"/>
        </w:rPr>
        <w:t xml:space="preserve">reveal important information about themselves and the issues being discussed without any </w:t>
      </w:r>
      <w:r>
        <w:rPr>
          <w:sz w:val="24"/>
          <w:szCs w:val="24"/>
          <w:rFonts w:ascii="Times New Roman" w:hAnsi="Times New Roman" w:cs="Times New Roman"/>
        </w:rPr>
        <w:t xml:space="preserve">reservation. The data were analysed using a simple statistical method of analysis using </w:t>
      </w:r>
      <w:r>
        <w:rPr>
          <w:sz w:val="24"/>
          <w:szCs w:val="24"/>
          <w:rFonts w:ascii="Times New Roman" w:hAnsi="Times New Roman" w:cs="Times New Roman"/>
        </w:rPr>
        <w:t xml:space="preserve">frequency tables and percentages.</w:t>
      </w:r>
    </w:p>
    <w:p>
      <w:pPr>
        <w:jc w:val="both"/>
        <w:spacing w:lineRule="auto" w:line="360" w:after="0"/>
        <w:rPr>
          <w:b w:val="1"/>
          <w:sz w:val="24"/>
          <w:szCs w:val="24"/>
          <w:caps w:val="1"/>
          <w:rFonts w:ascii="Times New Roman" w:hAnsi="Times New Roman" w:cs="Times New Roman"/>
        </w:rPr>
      </w:pPr>
      <w:r>
        <w:rPr>
          <w:b w:val="1"/>
          <w:sz w:val="24"/>
          <w:szCs w:val="24"/>
          <w:caps w:val="1"/>
          <w:rFonts w:ascii="Times New Roman" w:hAnsi="Times New Roman" w:cs="Times New Roman"/>
        </w:rPr>
        <w:t>5.</w:t>
      </w:r>
      <w:r>
        <w:rPr>
          <w:b w:val="1"/>
          <w:sz w:val="24"/>
          <w:szCs w:val="24"/>
          <w:caps w:val="1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 xml:space="preserve">Statistical Presentation of Responses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sz w:val="24"/>
          <w:szCs w:val="24"/>
          <w:rFonts w:ascii="Times New Roman" w:eastAsia="Calibri" w:hAnsi="Times New Roman" w:cs="Times New Roman"/>
        </w:rPr>
        <w:t xml:space="preserve">In each of the schools visited, a random number of questionnaires consisting of two (2) </w:t>
      </w:r>
      <w:r>
        <w:rPr>
          <w:sz w:val="24"/>
          <w:szCs w:val="24"/>
          <w:rFonts w:ascii="Times New Roman" w:eastAsia="Calibri" w:hAnsi="Times New Roman" w:cs="Times New Roman"/>
        </w:rPr>
        <w:t xml:space="preserve">sections with a total of twenty-eight (28) questions each were administered to both teachers </w:t>
      </w:r>
      <w:r>
        <w:rPr>
          <w:sz w:val="24"/>
          <w:szCs w:val="24"/>
          <w:rFonts w:ascii="Times New Roman" w:eastAsia="Calibri" w:hAnsi="Times New Roman" w:cs="Times New Roman"/>
        </w:rPr>
        <w:t xml:space="preserve">and students respectively. This was complemented by oral interviews of a few selected </w:t>
      </w:r>
      <w:r>
        <w:rPr>
          <w:sz w:val="24"/>
          <w:szCs w:val="24"/>
          <w:rFonts w:ascii="Times New Roman" w:eastAsia="Calibri" w:hAnsi="Times New Roman" w:cs="Times New Roman"/>
        </w:rPr>
        <w:t xml:space="preserve">teachers. The first set of questions which will be analyzed in the subsequent chapters consist </w:t>
      </w:r>
      <w:r>
        <w:rPr>
          <w:sz w:val="24"/>
          <w:szCs w:val="24"/>
          <w:rFonts w:ascii="Times New Roman" w:eastAsia="Calibri" w:hAnsi="Times New Roman" w:cs="Times New Roman"/>
        </w:rPr>
        <w:t xml:space="preserve">of two parts: a personal information part consisting of seven (07) questions designed to solicit </w:t>
      </w:r>
      <w:r>
        <w:rPr>
          <w:sz w:val="24"/>
          <w:szCs w:val="24"/>
          <w:rFonts w:ascii="Times New Roman" w:eastAsia="Calibri" w:hAnsi="Times New Roman" w:cs="Times New Roman"/>
        </w:rPr>
        <w:t xml:space="preserve">information that will establish the background of the respondents, a second part of ten (10) </w:t>
      </w:r>
      <w:r>
        <w:rPr>
          <w:sz w:val="24"/>
          <w:szCs w:val="24"/>
          <w:rFonts w:ascii="Times New Roman" w:eastAsia="Calibri" w:hAnsi="Times New Roman" w:cs="Times New Roman"/>
        </w:rPr>
        <w:t xml:space="preserve">questions to elicit response on the problems and prospects of teaching IKA DIALECT in </w:t>
      </w:r>
      <w:r>
        <w:rPr>
          <w:sz w:val="24"/>
          <w:szCs w:val="24"/>
          <w:rFonts w:ascii="Times New Roman" w:eastAsia="Calibri" w:hAnsi="Times New Roman" w:cs="Times New Roman"/>
        </w:rPr>
        <w:t xml:space="preserve">schools. The second section which was designed to accommodate students’ responses </w:t>
      </w:r>
      <w:r>
        <w:rPr>
          <w:sz w:val="24"/>
          <w:szCs w:val="24"/>
          <w:rFonts w:ascii="Times New Roman" w:eastAsia="Calibri" w:hAnsi="Times New Roman" w:cs="Times New Roman"/>
        </w:rPr>
        <w:t xml:space="preserve">comprise eleven (11) questions, all on the subject of attitudes and methods of IKA DIALECT </w:t>
      </w:r>
      <w:r>
        <w:rPr>
          <w:sz w:val="24"/>
          <w:szCs w:val="24"/>
          <w:rFonts w:ascii="Times New Roman" w:eastAsia="Calibri" w:hAnsi="Times New Roman" w:cs="Times New Roman"/>
        </w:rPr>
        <w:t xml:space="preserve">teaching in schools. The random selection of students and teachers in each of the schools </w:t>
      </w:r>
      <w:r>
        <w:rPr>
          <w:sz w:val="24"/>
          <w:szCs w:val="24"/>
          <w:rFonts w:ascii="Times New Roman" w:eastAsia="Calibri" w:hAnsi="Times New Roman" w:cs="Times New Roman"/>
        </w:rPr>
        <w:t xml:space="preserve">visited is expected to reflect the general challenges encountered in the teaching of the </w:t>
      </w:r>
      <w:r>
        <w:rPr>
          <w:sz w:val="24"/>
          <w:szCs w:val="24"/>
          <w:rFonts w:ascii="Times New Roman" w:eastAsia="Calibri" w:hAnsi="Times New Roman" w:cs="Times New Roman"/>
        </w:rPr>
        <w:t xml:space="preserve">language as well the possible ways of enhancing the teaching of the language.</w:t>
      </w: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</w:p>
    <w:p>
      <w:pPr>
        <w:jc w:val="both"/>
        <w:spacing w:lineRule="auto" w:line="360" w:after="0"/>
        <w:rPr>
          <w:sz w:val="24"/>
          <w:szCs w:val="24"/>
          <w:rFonts w:ascii="Times New Roman" w:eastAsia="Calibri" w:hAnsi="Times New Roman" w:cs="Times New Roman"/>
        </w:rPr>
      </w:pPr>
      <w:r>
        <w:rPr>
          <w:sz w:val="24"/>
          <w:szCs w:val="24"/>
          <w:rFonts w:ascii="Times New Roman" w:eastAsia="Calibri" w:hAnsi="Times New Roman" w:cs="Times New Roman"/>
        </w:rPr>
        <w:t xml:space="preserve">The different responses to the questions in the questionnaire are represented in a tabular form </w:t>
      </w:r>
      <w:r>
        <w:rPr>
          <w:sz w:val="24"/>
          <w:szCs w:val="24"/>
          <w:rFonts w:ascii="Times New Roman" w:eastAsia="Calibri" w:hAnsi="Times New Roman" w:cs="Times New Roman"/>
        </w:rPr>
        <w:t xml:space="preserve">for a statistical evaluation. The questionnaires were administered to a cross section of </w:t>
      </w:r>
      <w:r>
        <w:rPr>
          <w:sz w:val="24"/>
          <w:szCs w:val="24"/>
          <w:rFonts w:ascii="Times New Roman" w:eastAsia="Calibri" w:hAnsi="Times New Roman" w:cs="Times New Roman"/>
        </w:rPr>
        <w:t xml:space="preserve">teachers with ninety-eight percent of them from Delta state and fifty percent of these have </w:t>
      </w:r>
      <w:r>
        <w:rPr>
          <w:sz w:val="24"/>
          <w:szCs w:val="24"/>
          <w:rFonts w:ascii="Times New Roman" w:eastAsia="Calibri" w:hAnsi="Times New Roman" w:cs="Times New Roman"/>
        </w:rPr>
        <w:t xml:space="preserve">spent more than ten years in the teaching profession. The personal information of the teachers </w:t>
      </w:r>
      <w:r>
        <w:rPr>
          <w:sz w:val="24"/>
          <w:szCs w:val="24"/>
          <w:rFonts w:ascii="Times New Roman" w:eastAsia="Calibri" w:hAnsi="Times New Roman" w:cs="Times New Roman"/>
        </w:rPr>
        <w:t xml:space="preserve">is represented in the table below:</w:t>
      </w:r>
    </w:p>
    <w:p>
      <w:pPr>
        <w:jc w:val="both"/>
        <w:spacing w:lineRule="auto" w:line="360" w:after="0"/>
        <w:rPr>
          <w:sz w:val="24"/>
          <w:szCs w:val="24"/>
          <w:rFonts w:ascii="Times New Roman" w:eastAsia="Calibri" w:hAnsi="Times New Roman" w:cs="Times New Roman"/>
        </w:rPr>
      </w:pPr>
    </w:p>
    <w:p>
      <w:pPr>
        <w:jc w:val="both"/>
        <w:spacing w:lineRule="auto" w:line="360" w:after="0"/>
        <w:rPr>
          <w:sz w:val="24"/>
          <w:szCs w:val="24"/>
          <w:rFonts w:ascii="Times New Roman" w:eastAsia="Calibri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 xml:space="preserve">Table I: Gender distribution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2767"/>
        <w:gridCol w:w="2664"/>
        <w:gridCol w:w="2664"/>
      </w:tblGrid>
      <w:tr>
        <w:trPr>
          <w:trHeight w:hRule="atleast" w:val="184"/>
          <w:hidden w:val="0"/>
        </w:trPr>
        <w:tc>
          <w:tcPr>
            <w:tcW w:type="dxa" w:w="2767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 xml:space="preserve">Frequency 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 xml:space="preserve">Percentage (%)</w:t>
            </w:r>
          </w:p>
        </w:tc>
      </w:tr>
      <w:tr>
        <w:trPr>
          <w:trHeight w:hRule="atleast" w:val="191"/>
          <w:hidden w:val="0"/>
        </w:trPr>
        <w:tc>
          <w:tcPr>
            <w:tcW w:type="dxa" w:w="2767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Male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39</w:t>
            </w:r>
          </w:p>
        </w:tc>
      </w:tr>
      <w:tr>
        <w:trPr>
          <w:trHeight w:hRule="atleast" w:val="191"/>
          <w:hidden w:val="0"/>
        </w:trPr>
        <w:tc>
          <w:tcPr>
            <w:tcW w:type="dxa" w:w="2767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Female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61</w:t>
            </w:r>
          </w:p>
        </w:tc>
      </w:tr>
      <w:tr>
        <w:trPr>
          <w:trHeight w:hRule="atleast" w:val="254"/>
          <w:hidden w:val="0"/>
        </w:trPr>
        <w:tc>
          <w:tcPr>
            <w:tcW w:type="dxa" w:w="2767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>Total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type="dxa" w:w="2664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100</w:t>
            </w:r>
          </w:p>
        </w:tc>
      </w:tr>
    </w:tbl>
    <w:p>
      <w:pPr>
        <w:jc w:val="both"/>
        <w:spacing w:lineRule="auto" w:line="360"/>
        <w:rPr>
          <w:sz w:val="24"/>
          <w:szCs w:val="24"/>
          <w:rFonts w:ascii="Times New Roman" w:eastAsia="Calibri" w:hAnsi="Times New Roman" w:cs="Times New Roman"/>
        </w:rPr>
      </w:pPr>
      <w:r>
        <w:rPr>
          <w:sz w:val="24"/>
          <w:szCs w:val="24"/>
          <w:rFonts w:ascii="Times New Roman" w:eastAsia="Calibri" w:hAnsi="Times New Roman" w:cs="Times New Roman"/>
        </w:rPr>
        <w:tab/>
      </w: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eastAsia="Calibri" w:hAnsi="Times New Roman" w:cs="Times New Roman"/>
        </w:rPr>
      </w:pPr>
      <w:r>
        <w:rPr>
          <w:sz w:val="24"/>
          <w:szCs w:val="24"/>
          <w:rFonts w:ascii="Times New Roman" w:eastAsia="Calibri" w:hAnsi="Times New Roman" w:cs="Times New Roman"/>
        </w:rPr>
        <w:t xml:space="preserve">This statistics shows that there were more females than males in the schools visited </w:t>
      </w:r>
      <w:r>
        <w:rPr>
          <w:sz w:val="24"/>
          <w:szCs w:val="24"/>
          <w:rFonts w:ascii="Times New Roman" w:eastAsia="Calibri" w:hAnsi="Times New Roman" w:cs="Times New Roman"/>
        </w:rPr>
        <w:t xml:space="preserve">and to a large extent, it influenced the outlook of some of the responses obtained as the </w:t>
      </w:r>
      <w:r>
        <w:rPr>
          <w:sz w:val="24"/>
          <w:szCs w:val="24"/>
          <w:rFonts w:ascii="Times New Roman" w:eastAsia="Calibri" w:hAnsi="Times New Roman" w:cs="Times New Roman"/>
        </w:rPr>
        <w:t xml:space="preserve">females were more pessimistic about the possibility of teaching IKA DIALECT in schools.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 xml:space="preserve">Table II:</w:t>
      </w: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  <w:r>
        <w:rPr>
          <w:b w:val="1"/>
          <w:sz w:val="24"/>
          <w:szCs w:val="24"/>
          <w:rFonts w:ascii="Times New Roman" w:eastAsia="Calibri" w:hAnsi="Times New Roman" w:cs="Times New Roman"/>
        </w:rPr>
        <w:t xml:space="preserve">Educational distribution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3258"/>
        <w:gridCol w:w="2970"/>
        <w:gridCol w:w="2970"/>
      </w:tblGrid>
      <w:tr>
        <w:trPr>
          <w:hidden w:val="0"/>
        </w:trPr>
        <w:tc>
          <w:tcPr>
            <w:tcW w:type="dxa" w:w="3258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 xml:space="preserve">Level of Education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 xml:space="preserve">Frequency 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 xml:space="preserve">Percentage (%)</w:t>
            </w:r>
          </w:p>
        </w:tc>
      </w:tr>
      <w:tr>
        <w:trPr>
          <w:hidden w:val="0"/>
        </w:trPr>
        <w:tc>
          <w:tcPr>
            <w:tcW w:type="dxa" w:w="3258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Tertiary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87</w:t>
            </w:r>
          </w:p>
        </w:tc>
      </w:tr>
      <w:tr>
        <w:trPr>
          <w:hidden w:val="0"/>
        </w:trPr>
        <w:tc>
          <w:tcPr>
            <w:tcW w:type="dxa" w:w="3258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Secondary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09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09</w:t>
            </w:r>
          </w:p>
        </w:tc>
      </w:tr>
      <w:tr>
        <w:trPr>
          <w:hidden w:val="0"/>
        </w:trPr>
        <w:tc>
          <w:tcPr>
            <w:tcW w:type="dxa" w:w="3258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 xml:space="preserve">No response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04</w:t>
            </w:r>
          </w:p>
        </w:tc>
      </w:tr>
      <w:tr>
        <w:trPr>
          <w:hidden w:val="0"/>
        </w:trPr>
        <w:tc>
          <w:tcPr>
            <w:tcW w:type="dxa" w:w="3258"/>
            <w:vAlign w:val="top"/>
          </w:tcPr>
          <w:p>
            <w:pPr>
              <w:jc w:val="both"/>
              <w:spacing w:lineRule="auto" w:line="360"/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eastAsia="Calibri" w:hAnsi="Times New Roman" w:cs="Times New Roman"/>
              </w:rPr>
              <w:t>Total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type="dxa" w:w="2970"/>
            <w:vAlign w:val="top"/>
          </w:tcPr>
          <w:p>
            <w:pPr>
              <w:jc w:val="both"/>
              <w:spacing w:lineRule="auto" w:line="360"/>
              <w:rPr>
                <w:sz w:val="24"/>
                <w:szCs w:val="24"/>
                <w:rFonts w:ascii="Times New Roman" w:eastAsia="Calibri" w:hAnsi="Times New Roman" w:cs="Times New Roman"/>
              </w:rPr>
            </w:pPr>
            <w:r>
              <w:rPr>
                <w:sz w:val="24"/>
                <w:szCs w:val="24"/>
                <w:rFonts w:ascii="Times New Roman" w:eastAsia="Calibri" w:hAnsi="Times New Roman" w:cs="Times New Roman"/>
              </w:rPr>
              <w:t>100</w:t>
            </w:r>
          </w:p>
        </w:tc>
      </w:tr>
    </w:tbl>
    <w:p>
      <w:pPr>
        <w:jc w:val="both"/>
        <w:spacing w:lineRule="auto" w:line="36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</w:p>
    <w:p>
      <w:pPr>
        <w:jc w:val="both"/>
        <w:spacing w:lineRule="auto" w:line="360" w:after="0"/>
        <w:rPr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  <w:r>
        <w:rPr>
          <w:sz w:val="24"/>
          <w:szCs w:val="24"/>
          <w:rFonts w:ascii="Times New Roman" w:eastAsia="Calibri" w:hAnsi="Times New Roman" w:cs="Times New Roman"/>
        </w:rPr>
        <w:t xml:space="preserve">A significantly large proportion of the teachers interviewed have obtained one form of </w:t>
      </w:r>
      <w:r>
        <w:rPr>
          <w:sz w:val="24"/>
          <w:szCs w:val="24"/>
          <w:rFonts w:ascii="Times New Roman" w:eastAsia="Calibri" w:hAnsi="Times New Roman" w:cs="Times New Roman"/>
        </w:rPr>
        <w:t xml:space="preserve">tertiary education/degree or the other (OND, NCE, BSC, MSC and so on). This made the </w:t>
      </w:r>
      <w:r>
        <w:rPr>
          <w:sz w:val="24"/>
          <w:szCs w:val="24"/>
          <w:rFonts w:ascii="Times New Roman" w:eastAsia="Calibri" w:hAnsi="Times New Roman" w:cs="Times New Roman"/>
        </w:rPr>
        <w:t xml:space="preserve">administration of questions as well as the retrieval of same very easy and productive.  This in </w:t>
      </w:r>
      <w:r>
        <w:rPr>
          <w:sz w:val="24"/>
          <w:szCs w:val="24"/>
          <w:rFonts w:ascii="Times New Roman" w:eastAsia="Calibri" w:hAnsi="Times New Roman" w:cs="Times New Roman"/>
        </w:rPr>
        <w:t xml:space="preserve">addition to the fact that all the schools questionnaires were administered to happened to be </w:t>
      </w:r>
      <w:r>
        <w:rPr>
          <w:sz w:val="24"/>
          <w:szCs w:val="24"/>
          <w:rFonts w:ascii="Times New Roman" w:eastAsia="Calibri" w:hAnsi="Times New Roman" w:cs="Times New Roman"/>
        </w:rPr>
        <w:t xml:space="preserve">where some language subjects are taught.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  <w:r>
        <w:rPr>
          <w:sz w:val="24"/>
          <w:szCs w:val="24"/>
          <w:rFonts w:ascii="Times New Roman" w:eastAsia="Calibri" w:hAnsi="Times New Roman" w:cs="Times New Roman"/>
        </w:rPr>
        <w:t xml:space="preserve">These distributions represent the general outlook of the first part of the section </w:t>
      </w:r>
      <w:r>
        <w:rPr>
          <w:sz w:val="24"/>
          <w:szCs w:val="24"/>
          <w:rFonts w:ascii="Times New Roman" w:eastAsia="Calibri" w:hAnsi="Times New Roman" w:cs="Times New Roman"/>
        </w:rPr>
        <w:t xml:space="preserve">administered to teachers and they played a very determining role in the outlook of the general </w:t>
      </w:r>
      <w:r>
        <w:rPr>
          <w:sz w:val="24"/>
          <w:szCs w:val="24"/>
          <w:rFonts w:ascii="Times New Roman" w:eastAsia="Calibri" w:hAnsi="Times New Roman" w:cs="Times New Roman"/>
        </w:rPr>
        <w:t xml:space="preserve">responses at the end of it all. The detail of these and their individual responses will come </w:t>
      </w:r>
      <w:r>
        <w:rPr>
          <w:sz w:val="24"/>
          <w:szCs w:val="24"/>
          <w:rFonts w:ascii="Times New Roman" w:eastAsia="Calibri" w:hAnsi="Times New Roman" w:cs="Times New Roman"/>
        </w:rPr>
        <w:t xml:space="preserve">under the chapter on data analysis. </w:t>
      </w:r>
      <w:r>
        <w:rPr>
          <w:sz w:val="24"/>
          <w:szCs w:val="24"/>
          <w:rFonts w:ascii="Times New Roman" w:hAnsi="Times New Roman" w:cs="Times New Roman"/>
        </w:rPr>
        <w:t xml:space="preserve">In each of the schools visited, which were randomly </w:t>
      </w:r>
      <w:r>
        <w:rPr>
          <w:sz w:val="24"/>
          <w:szCs w:val="24"/>
          <w:rFonts w:ascii="Times New Roman" w:hAnsi="Times New Roman" w:cs="Times New Roman"/>
        </w:rPr>
        <w:t xml:space="preserve">selected, questionnaires were administered also to students who were randomly selected with </w:t>
      </w:r>
      <w:r>
        <w:rPr>
          <w:sz w:val="24"/>
          <w:szCs w:val="24"/>
          <w:rFonts w:ascii="Times New Roman" w:hAnsi="Times New Roman" w:cs="Times New Roman"/>
        </w:rPr>
        <w:t xml:space="preserve">the assistance of the teachers. The selection was based on the consideration of those in SSS 1 </w:t>
      </w:r>
      <w:r>
        <w:rPr>
          <w:sz w:val="24"/>
          <w:szCs w:val="24"/>
          <w:rFonts w:ascii="Times New Roman" w:hAnsi="Times New Roman" w:cs="Times New Roman"/>
        </w:rPr>
        <w:t xml:space="preserve">who happened to be offering all subjects at that level and some from the junior class (JSS 3) </w:t>
      </w:r>
      <w:r>
        <w:rPr>
          <w:sz w:val="24"/>
          <w:szCs w:val="24"/>
          <w:rFonts w:ascii="Times New Roman" w:hAnsi="Times New Roman" w:cs="Times New Roman"/>
        </w:rPr>
        <w:t xml:space="preserve">learning the subject or related subjects. The eleven secondary schools are composed in terms </w:t>
      </w:r>
      <w:r>
        <w:rPr>
          <w:sz w:val="24"/>
          <w:szCs w:val="24"/>
          <w:rFonts w:ascii="Times New Roman" w:hAnsi="Times New Roman" w:cs="Times New Roman"/>
        </w:rPr>
        <w:t xml:space="preserve">of gender as follows: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 xml:space="preserve">Table III:</w:t>
      </w:r>
      <w:r>
        <w:rPr>
          <w:b w:val="1"/>
          <w:sz w:val="24"/>
          <w:szCs w:val="24"/>
          <w:rFonts w:ascii="Times New Roman" w:eastAsia="Calibri" w:hAnsi="Times New Roman" w:cs="Times New Roman"/>
        </w:rPr>
        <w:tab/>
      </w:r>
      <w:r>
        <w:rPr>
          <w:b w:val="1"/>
          <w:sz w:val="24"/>
          <w:szCs w:val="24"/>
          <w:rFonts w:ascii="Times New Roman" w:eastAsia="Calibri" w:hAnsi="Times New Roman" w:cs="Times New Roman"/>
        </w:rPr>
        <w:t xml:space="preserve">Structure of schools visited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4A0" w:firstRow="1" w:lastRow="0" w:firstColumn="1" w:lastColumn="0" w:noHBand="0" w:noVBand="1"/>
        <w:tblLayout w:type="auto"/>
      </w:tblPr>
      <w:tblGrid>
        <w:gridCol w:w="3078"/>
        <w:gridCol w:w="2880"/>
        <w:gridCol w:w="2880"/>
      </w:tblGrid>
      <w:tr>
        <w:trPr>
          <w:hidden w:val="0"/>
        </w:trPr>
        <w:tc>
          <w:tcPr>
            <w:tcW w:type="dxa" w:w="3078"/>
            <w:vAlign w:val="top"/>
          </w:tcPr>
          <w:p>
            <w:pPr>
              <w:pStyle w:val="PO151"/>
              <w:spacing w:lineRule="auto" w:line="360"/>
              <w:rPr>
                <w:b w:val="1"/>
              </w:rPr>
            </w:pPr>
            <w:r>
              <w:rPr>
                <w:b w:val="1"/>
              </w:rPr>
              <w:t>Schools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>
                <w:b w:val="1"/>
              </w:rPr>
            </w:pPr>
            <w:r>
              <w:rPr>
                <w:b w:val="1"/>
              </w:rPr>
              <w:t>Frequency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>
                <w:b w:val="1"/>
              </w:rPr>
            </w:pPr>
            <w:r>
              <w:rPr>
                <w:b w:val="1"/>
              </w:rPr>
              <w:t xml:space="preserve">Percentage %</w:t>
            </w:r>
          </w:p>
        </w:tc>
      </w:tr>
      <w:tr>
        <w:trPr>
          <w:hidden w:val="0"/>
        </w:trPr>
        <w:tc>
          <w:tcPr>
            <w:tcW w:type="dxa" w:w="3078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Male-only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05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46</w:t>
            </w:r>
          </w:p>
        </w:tc>
      </w:tr>
      <w:tr>
        <w:trPr>
          <w:hidden w:val="0"/>
        </w:trPr>
        <w:tc>
          <w:tcPr>
            <w:tcW w:type="dxa" w:w="3078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Female-only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03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27</w:t>
            </w:r>
          </w:p>
        </w:tc>
      </w:tr>
      <w:tr>
        <w:trPr>
          <w:hidden w:val="0"/>
        </w:trPr>
        <w:tc>
          <w:tcPr>
            <w:tcW w:type="dxa" w:w="3078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 xml:space="preserve">Mixed school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03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27</w:t>
            </w:r>
          </w:p>
        </w:tc>
      </w:tr>
      <w:tr>
        <w:trPr>
          <w:hidden w:val="0"/>
        </w:trPr>
        <w:tc>
          <w:tcPr>
            <w:tcW w:type="dxa" w:w="3078"/>
            <w:vAlign w:val="top"/>
          </w:tcPr>
          <w:p>
            <w:pPr>
              <w:pStyle w:val="PO151"/>
              <w:spacing w:lineRule="auto" w:line="360"/>
              <w:rPr>
                <w:b w:val="1"/>
              </w:rPr>
            </w:pPr>
            <w:r>
              <w:rPr>
                <w:b w:val="1"/>
              </w:rPr>
              <w:t>Total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11</w:t>
            </w:r>
          </w:p>
        </w:tc>
        <w:tc>
          <w:tcPr>
            <w:tcW w:type="dxa" w:w="2880"/>
            <w:vAlign w:val="top"/>
          </w:tcPr>
          <w:p>
            <w:pPr>
              <w:pStyle w:val="PO151"/>
              <w:spacing w:lineRule="auto" w:line="360"/>
              <w:rPr/>
            </w:pPr>
            <w:r>
              <w:rPr/>
              <w:t>100</w:t>
            </w:r>
          </w:p>
        </w:tc>
      </w:tr>
    </w:tbl>
    <w:p>
      <w:pPr>
        <w:pStyle w:val="PO151"/>
        <w:spacing w:lineRule="auto" w:line="360"/>
        <w:rPr/>
      </w:pPr>
    </w:p>
    <w:p>
      <w:pPr>
        <w:jc w:val="both"/>
        <w:spacing w:lineRule="auto" w:line="360" w:after="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questionnaire were distributed as stipulated above and later recovered from the </w:t>
      </w:r>
      <w:r>
        <w:rPr>
          <w:sz w:val="24"/>
          <w:szCs w:val="24"/>
          <w:rFonts w:ascii="Times New Roman" w:hAnsi="Times New Roman" w:cs="Times New Roman"/>
        </w:rPr>
        <w:t xml:space="preserve">respondents on completion. The responses were then synthesized, from the responses it was </w:t>
      </w:r>
      <w:r>
        <w:rPr>
          <w:sz w:val="24"/>
          <w:szCs w:val="24"/>
          <w:rFonts w:ascii="Times New Roman" w:hAnsi="Times New Roman" w:cs="Times New Roman"/>
        </w:rPr>
        <w:t xml:space="preserve">observed that Ika is taught minimally in some schools and not taught at all in others. </w:t>
      </w:r>
      <w:r>
        <w:rPr>
          <w:sz w:val="24"/>
          <w:szCs w:val="24"/>
          <w:rFonts w:ascii="Times New Roman" w:eastAsia="Calibri" w:hAnsi="Times New Roman" w:cs="Times New Roman"/>
        </w:rPr>
        <w:t xml:space="preserve">The </w:t>
      </w:r>
      <w:r>
        <w:rPr>
          <w:sz w:val="24"/>
          <w:szCs w:val="24"/>
          <w:rFonts w:ascii="Times New Roman" w:eastAsia="Calibri" w:hAnsi="Times New Roman" w:cs="Times New Roman"/>
        </w:rPr>
        <w:t xml:space="preserve">present study is geared towards identifying the problems and prospects of teaching IKA </w:t>
      </w:r>
      <w:r>
        <w:rPr>
          <w:sz w:val="24"/>
          <w:szCs w:val="24"/>
          <w:rFonts w:ascii="Times New Roman" w:eastAsia="Calibri" w:hAnsi="Times New Roman" w:cs="Times New Roman"/>
        </w:rPr>
        <w:t xml:space="preserve">DIALECT in Ika South and North LGAs of Delta State. </w:t>
      </w:r>
    </w:p>
    <w:p>
      <w:pPr>
        <w:spacing w:lineRule="auto" w:line="360" w:after="0"/>
        <w:rPr>
          <w:b w:val="1"/>
          <w:sz w:val="24"/>
          <w:szCs w:val="24"/>
          <w:caps w:val="1"/>
          <w:rFonts w:ascii="Times New Roman" w:hAnsi="Times New Roman" w:cs="Times New Roman"/>
        </w:rPr>
      </w:pPr>
      <w:r>
        <w:rPr>
          <w:b w:val="1"/>
          <w:sz w:val="24"/>
          <w:szCs w:val="24"/>
          <w:caps w:val="1"/>
          <w:rFonts w:ascii="Times New Roman" w:hAnsi="Times New Roman" w:cs="Times New Roman"/>
        </w:rPr>
        <w:t>6.</w:t>
      </w:r>
      <w:r>
        <w:rPr>
          <w:b w:val="1"/>
          <w:sz w:val="24"/>
          <w:szCs w:val="24"/>
          <w:caps w:val="1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 xml:space="preserve">Discussion of Results </w:t>
      </w:r>
    </w:p>
    <w:p>
      <w:pPr>
        <w:pStyle w:val="PO151"/>
        <w:spacing w:lineRule="auto" w:line="360"/>
        <w:rPr/>
      </w:pPr>
      <w:r>
        <w:rPr>
          <w:b w:val="1"/>
        </w:rPr>
        <w:tab/>
      </w:r>
      <w:r>
        <w:rPr/>
        <w:t xml:space="preserve">It is also the case that Ika is taught not only in the junior secondary schools (JSS) but </w:t>
      </w:r>
      <w:r>
        <w:rPr/>
        <w:t xml:space="preserve">also in the senior secondary schools (SSS). It is taught both orally and practically in most of </w:t>
      </w:r>
      <w:r>
        <w:rPr/>
        <w:t xml:space="preserve">the schools and in a few, translation method is used, i.e. the teacher reads out a passage in an </w:t>
      </w:r>
      <w:r>
        <w:rPr/>
        <w:t xml:space="preserve">Ika text to students who in turn are expected to listen well and understand it. The teacher </w:t>
      </w:r>
      <w:r>
        <w:rPr/>
        <w:t xml:space="preserve">thereafter copies the passage on the board for the children to read aloud and through this </w:t>
      </w:r>
      <w:r>
        <w:rPr/>
        <w:t xml:space="preserve">identify the words which are difficult for the students to pronounce. 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The responses show that the population of students taking Ika as a subject in each of </w:t>
      </w:r>
      <w:r>
        <w:rPr/>
        <w:t xml:space="preserve">the schools range from one hundred and twenty to three hundred and they predominate in the </w:t>
      </w:r>
      <w:r>
        <w:rPr/>
        <w:t xml:space="preserve">community schools. It is also the case that there are three to four IKA DIALECT teachers in </w:t>
      </w:r>
      <w:r>
        <w:rPr/>
        <w:t xml:space="preserve">the largely populated schools and fewer still in the less populated and private schools. The </w:t>
      </w:r>
      <w:r>
        <w:rPr/>
        <w:t xml:space="preserve">indication is however given from the responses that only a very small number of the teachers </w:t>
      </w:r>
      <w:r>
        <w:rPr/>
        <w:t xml:space="preserve">are trained in IKA DIALECT but the qualifications are quite impressive as seen from the </w:t>
      </w:r>
      <w:r>
        <w:rPr/>
        <w:t xml:space="preserve">responses of many instances of degree holders in language ranging from a Bachelors degree </w:t>
      </w:r>
      <w:r>
        <w:rPr/>
        <w:t xml:space="preserve">to a Masters. The teaching aids identified for teaching the subject in the schools are very few </w:t>
      </w:r>
      <w:r>
        <w:rPr/>
        <w:t xml:space="preserve">and not adequate. The few that exist consist of some Ika textbooks, pamphlets, objects and </w:t>
      </w:r>
      <w:r>
        <w:rPr/>
        <w:t>charts.</w:t>
      </w:r>
    </w:p>
    <w:p>
      <w:pPr>
        <w:pStyle w:val="PO151"/>
        <w:spacing w:lineRule="auto" w:line="360"/>
        <w:rPr/>
      </w:pPr>
    </w:p>
    <w:p>
      <w:pPr>
        <w:pStyle w:val="PO151"/>
        <w:spacing w:lineRule="auto" w:line="360"/>
        <w:rPr/>
      </w:pPr>
    </w:p>
    <w:p>
      <w:pPr>
        <w:pStyle w:val="PO151"/>
        <w:spacing w:lineRule="auto" w:line="360"/>
        <w:rPr/>
      </w:pPr>
    </w:p>
    <w:p>
      <w:pPr>
        <w:pStyle w:val="PO151"/>
        <w:spacing w:lineRule="auto" w:line="360"/>
        <w:rPr/>
      </w:pPr>
    </w:p>
    <w:p>
      <w:pPr>
        <w:spacing w:lineRule="auto" w:line="360"/>
        <w:rPr>
          <w:b w:val="1"/>
          <w:sz w:val="24"/>
          <w:szCs w:val="24"/>
          <w:caps w:val="1"/>
          <w:rFonts w:ascii="Times New Roman" w:hAnsi="Times New Roman" w:cs="Times New Roman"/>
        </w:rPr>
      </w:pPr>
      <w:r>
        <w:rPr>
          <w:b w:val="1"/>
          <w:sz w:val="24"/>
          <w:szCs w:val="24"/>
          <w:caps w:val="1"/>
          <w:rFonts w:ascii="Times New Roman" w:hAnsi="Times New Roman" w:cs="Times New Roman"/>
        </w:rPr>
        <w:t>7.</w:t>
      </w:r>
      <w:r>
        <w:rPr>
          <w:b w:val="1"/>
          <w:sz w:val="24"/>
          <w:szCs w:val="24"/>
          <w:caps w:val="1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 xml:space="preserve">Evaluation of Challenges </w:t>
      </w:r>
    </w:p>
    <w:p>
      <w:pPr>
        <w:pStyle w:val="PO151"/>
        <w:spacing w:lineRule="auto" w:line="360"/>
        <w:rPr/>
      </w:pPr>
      <w:r>
        <w:rPr>
          <w:b w:val="1"/>
        </w:rPr>
        <w:tab/>
      </w:r>
      <w:r>
        <w:rPr/>
        <w:t xml:space="preserve"> This study unearthed some findings from the study which reveal that many challenges </w:t>
      </w:r>
      <w:r>
        <w:rPr/>
        <w:t xml:space="preserve">hinder the teaching and learning of IKA DIALECT in secondary schools. Such challenges are </w:t>
      </w:r>
      <w:r>
        <w:rPr/>
        <w:t xml:space="preserve">itemized below: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General absence of interest on the part of the students,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There are no proper and adequate teaching aids and teaching materials 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 overriding influence of English and pidgin on Ika,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Lack of enough IKA DIALECT teachers,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Lack of motivation for IKA DIALECT students on the part of parents and teachers,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There is no comprehensive language curriculum for the subject,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There is no systematic method of teaching Ika,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 general pessimistic attitudes of the language teachers, students and their </w:t>
      </w:r>
      <w:r>
        <w:rPr/>
        <w:t xml:space="preserve">parents as well as the government of the day, and</w:t>
      </w:r>
    </w:p>
    <w:p>
      <w:pPr>
        <w:pStyle w:val="PO151"/>
        <w:numPr>
          <w:ilvl w:val="0"/>
          <w:numId w:val="3"/>
        </w:numPr>
        <w:spacing w:lineRule="auto" w:line="360"/>
        <w:rPr/>
      </w:pPr>
      <w:r>
        <w:rPr/>
        <w:t xml:space="preserve">The inferiority complex especially on the part of students.</w:t>
      </w:r>
    </w:p>
    <w:p>
      <w:pPr>
        <w:pStyle w:val="PO151"/>
        <w:spacing w:lineRule="auto" w:line="360"/>
        <w:rPr/>
      </w:pPr>
      <w:r>
        <w:rPr/>
        <w:t xml:space="preserve">           A good number of students in Ika South LGA of Delta State lack interest in the study of </w:t>
      </w:r>
      <w:r>
        <w:rPr/>
        <w:t xml:space="preserve">IKA DIALECT and this can be attributed to a lot of factors. The majority of the students have </w:t>
      </w:r>
      <w:r>
        <w:rPr/>
        <w:t xml:space="preserve">this impression that IKA DIALECT is very difficult to understand and not interesting to study. </w:t>
      </w:r>
      <w:r>
        <w:rPr/>
        <w:t xml:space="preserve">They also have negative attitude towards the language and they feel that the language has </w:t>
      </w:r>
      <w:r>
        <w:rPr/>
        <w:t xml:space="preserve">nothing much to offer them in terms of taking them through the challenges of life and giving </w:t>
      </w:r>
      <w:r>
        <w:rPr/>
        <w:t xml:space="preserve">the much desired bright future in terms of career or profession.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Most of the Ika native speakers when interviewed say they hardly speak the language </w:t>
      </w:r>
      <w:r>
        <w:rPr/>
        <w:t xml:space="preserve">at home, instead they speak English or pidgin and sometimes both of them. They would prefer </w:t>
      </w:r>
      <w:r>
        <w:rPr/>
        <w:t xml:space="preserve">according to them, to become more competent in the English language since it is the major </w:t>
      </w:r>
      <w:r>
        <w:rPr/>
        <w:t xml:space="preserve">language of instruction in school and a more prestigious one. Moreover, English is a </w:t>
      </w:r>
      <w:r>
        <w:rPr/>
        <w:t xml:space="preserve">necessary requirement in every aspect of learning and employment opportunities in Delta </w:t>
      </w:r>
      <w:r>
        <w:rPr/>
        <w:t xml:space="preserve">State and Nigeria as a whole. IKA DIALECT is not even close to being as important as </w:t>
      </w:r>
      <w:r>
        <w:rPr/>
        <w:t xml:space="preserve">English or even pidgin. To the students therefore, the teaching of Ika should not be </w:t>
      </w:r>
      <w:r>
        <w:rPr/>
        <w:t xml:space="preserve">compulsory at any level of education.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The lack of encouragement from the language teachers, the government, the parents to </w:t>
      </w:r>
      <w:r>
        <w:rPr/>
        <w:t xml:space="preserve">the students as well as the general lack of teaching aids/materials actually make matters worse </w:t>
      </w:r>
      <w:r>
        <w:rPr/>
        <w:t xml:space="preserve">as regards getting the student to accept and embrace the use of Ika fully. The lack of proper </w:t>
      </w:r>
      <w:r>
        <w:rPr/>
        <w:t xml:space="preserve">and adequate teaching materials in IKA DIALECT poses serious problems to both the </w:t>
      </w:r>
      <w:r>
        <w:rPr/>
        <w:t xml:space="preserve">students and the teachers. These problems contribute in making the language more complex, </w:t>
      </w:r>
      <w:r>
        <w:rPr/>
        <w:t xml:space="preserve">difficult and uninteresting to students and make the teachers’ job cumbersome. Besides the </w:t>
      </w:r>
      <w:r>
        <w:rPr/>
        <w:t xml:space="preserve">main texts, we observe that there are no proper teaching aids in most of the schools to enhance </w:t>
      </w:r>
      <w:r>
        <w:rPr/>
        <w:t xml:space="preserve">the teaching of the language.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English and Pidgin were observed to have had a great influence on IKA DIALECT. </w:t>
      </w:r>
      <w:r>
        <w:rPr/>
        <w:t xml:space="preserve">The multilingual nature of Delta State as well as Nigeria in general has warranted the </w:t>
      </w:r>
      <w:r>
        <w:rPr/>
        <w:t xml:space="preserve">adoption and encouragement of English as a common medium of communication and official </w:t>
      </w:r>
      <w:r>
        <w:rPr/>
        <w:t xml:space="preserve">transactions. English has served as a unifying language since the colonial era. Many Nigerians </w:t>
      </w:r>
      <w:r>
        <w:rPr/>
        <w:t xml:space="preserve">especially students at various levels of education are striving to become more competent in </w:t>
      </w:r>
      <w:r>
        <w:rPr/>
        <w:t xml:space="preserve">English language daily with the result of many becoming instead more proficient in pidgin. </w:t>
      </w:r>
      <w:r>
        <w:rPr/>
        <w:t xml:space="preserve">The result of this situation is the gradual abandonment of the indigenous languages of which </w:t>
      </w:r>
      <w:r>
        <w:rPr/>
        <w:t xml:space="preserve">Ika is one.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Pidgin has gained a wider coverage and more solid grounds in Delta state and Nigeria </w:t>
      </w:r>
      <w:r>
        <w:rPr/>
        <w:t xml:space="preserve">as a whole than IKA DIALECT. It has become the case that Ika is gradually being submerged </w:t>
      </w:r>
      <w:r>
        <w:rPr/>
        <w:t xml:space="preserve">by English and pidgin languages, a situation, which calls for urgent and prompt attention. It is </w:t>
      </w:r>
      <w:r>
        <w:rPr/>
        <w:t xml:space="preserve">sad to note that what we indeed call ‘Vernacular language’ before now is actually the </w:t>
      </w:r>
      <w:r>
        <w:rPr/>
        <w:t xml:space="preserve">indigenous languages of which Ika is one. This was generally used before now to relegate our </w:t>
      </w:r>
      <w:r>
        <w:rPr/>
        <w:t xml:space="preserve">indigenous languages to the background and discourage people (especially pupils and </w:t>
      </w:r>
      <w:r>
        <w:rPr/>
        <w:t xml:space="preserve">students) from studying them. This has to large extent led to the endangered status of many of </w:t>
      </w:r>
      <w:r>
        <w:rPr/>
        <w:t xml:space="preserve">our indigenous languages with parents, students and relevant stakeholders shelving their </w:t>
      </w:r>
      <w:r>
        <w:rPr/>
        <w:t xml:space="preserve">responsibilities of encouraging the vitality of these languages. This shows that the use of IKA </w:t>
      </w:r>
      <w:r>
        <w:rPr/>
        <w:t xml:space="preserve">DIALECT is highly discouraged in schools and this makes the future progress of mother </w:t>
      </w:r>
      <w:r>
        <w:rPr/>
        <w:t xml:space="preserve">tongue education very doubtful. Apart from this instance, the use of English and pidgin such </w:t>
      </w:r>
      <w:r>
        <w:rPr/>
        <w:t xml:space="preserve">as in the media and social gatherings dominate many other areas of Ika South. The magnitude </w:t>
      </w:r>
      <w:r>
        <w:rPr/>
        <w:t xml:space="preserve">of this problem can be seen from Adeniran (1980) observation in his study, which focuses on </w:t>
      </w:r>
      <w:r>
        <w:rPr/>
        <w:t xml:space="preserve">the relative strength of English over Nigerian languages especially Yoruba. He concludes that </w:t>
      </w:r>
      <w:r>
        <w:rPr/>
        <w:t xml:space="preserve">against this background idea the future Nigerian languages is discussed and settled. </w:t>
      </w:r>
    </w:p>
    <w:p>
      <w:pPr>
        <w:pStyle w:val="PO151"/>
        <w:spacing w:lineRule="auto" w:line="360"/>
        <w:ind w:firstLine="720"/>
        <w:rPr/>
      </w:pPr>
      <w:r>
        <w:rPr/>
        <w:t xml:space="preserve">In addition to the few number of Ika teachers in the system, those who are already in </w:t>
      </w:r>
      <w:r>
        <w:rPr/>
        <w:t xml:space="preserve">the system are not highly motivated like their counterparts in the sciences and other subjects </w:t>
      </w:r>
      <w:r>
        <w:rPr/>
        <w:t xml:space="preserve">like English or French. To get enough Ika teachers who are proficient in the language and can </w:t>
      </w:r>
      <w:r>
        <w:rPr/>
        <w:t xml:space="preserve">use it to teach, those already in the system should be encouraged and given enough incentives </w:t>
      </w:r>
      <w:r>
        <w:rPr/>
        <w:t xml:space="preserve">to embark on this mission to promote the language. </w:t>
      </w:r>
    </w:p>
    <w:p>
      <w:pPr>
        <w:pStyle w:val="PO151"/>
        <w:spacing w:lineRule="auto" w:line="360"/>
        <w:ind w:firstLine="720"/>
        <w:rPr/>
      </w:pPr>
      <w:r>
        <w:rPr/>
        <w:t xml:space="preserve">Moreover recruitment of qualified and willing IKA DIALECT teachers should be </w:t>
      </w:r>
      <w:r>
        <w:rPr/>
        <w:t xml:space="preserve">done regularly in quality and quantity. As suggested by Emenanjo (1995), the number of </w:t>
      </w:r>
      <w:r>
        <w:rPr/>
        <w:t xml:space="preserve">Nigerian Language teachers need to be increased by reviewing upward the admission quotas </w:t>
      </w:r>
      <w:r>
        <w:rPr/>
        <w:t xml:space="preserve">for Nigerian Language Students. This is a very laudable idea as we are likely to have more </w:t>
      </w:r>
      <w:r>
        <w:rPr/>
        <w:t xml:space="preserve">interested and prospective students being admitted into our higher institutions to study </w:t>
      </w:r>
      <w:r>
        <w:rPr/>
        <w:t xml:space="preserve">indigenous languages like Ika. Once they get qualified and are employed, they should be </w:t>
      </w:r>
      <w:r>
        <w:rPr/>
        <w:t xml:space="preserve">encouraged to stay on the job. By rewarding them adequately periodically and by providing </w:t>
      </w:r>
      <w:r>
        <w:rPr/>
        <w:t xml:space="preserve">them with incentives for advancement in training and for research activities as Emenanjo has </w:t>
      </w:r>
      <w:r>
        <w:rPr/>
        <w:t xml:space="preserve">advised. </w:t>
      </w:r>
    </w:p>
    <w:p>
      <w:pPr>
        <w:pStyle w:val="PO151"/>
        <w:spacing w:lineRule="auto" w:line="360"/>
        <w:ind w:firstLine="720"/>
        <w:rPr/>
      </w:pPr>
      <w:r>
        <w:rPr/>
        <w:t xml:space="preserve">Another serious challenge of teaching IKA DIALECT is that most of the students do </w:t>
      </w:r>
      <w:r>
        <w:rPr/>
        <w:t xml:space="preserve">not have basic IKA DIALECT requirement, that is many of them do not know how to speak </w:t>
      </w:r>
      <w:r>
        <w:rPr/>
        <w:t xml:space="preserve">the language nor do they have a mastery of it and the irony of this is that such students were </w:t>
      </w:r>
      <w:r>
        <w:rPr/>
        <w:t xml:space="preserve">observed to be masters of pidgin and English in some cases. This makes the teachers’ work </w:t>
      </w:r>
      <w:r>
        <w:rPr/>
        <w:t xml:space="preserve">frustrating and cumbersome in coping with these difficulties. </w:t>
      </w:r>
    </w:p>
    <w:p>
      <w:pPr>
        <w:spacing w:lineRule="auto" w:line="360"/>
        <w:rPr>
          <w:b w:val="1"/>
          <w:sz w:val="24"/>
          <w:szCs w:val="24"/>
          <w:caps w:val="1"/>
          <w:rFonts w:ascii="Times New Roman" w:hAnsi="Times New Roman" w:cs="Times New Roman"/>
        </w:rPr>
      </w:pPr>
      <w:r>
        <w:rPr>
          <w:b w:val="1"/>
          <w:sz w:val="24"/>
          <w:szCs w:val="24"/>
          <w:caps w:val="1"/>
          <w:rFonts w:ascii="Times New Roman" w:hAnsi="Times New Roman" w:cs="Times New Roman"/>
        </w:rPr>
        <w:t>8.</w:t>
      </w:r>
      <w:r>
        <w:rPr>
          <w:b w:val="1"/>
          <w:sz w:val="24"/>
          <w:szCs w:val="24"/>
          <w:caps w:val="1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 xml:space="preserve">Presentation of Solutions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As a result of the problems/challenges observed in this study and other observations, a </w:t>
      </w:r>
      <w:r>
        <w:rPr/>
        <w:t xml:space="preserve">number of prospects can be identified in the effective teaching of IKA DIALECT in schools. </w:t>
      </w:r>
      <w:r>
        <w:rPr/>
        <w:t xml:space="preserve">The teaching of Ika will help the child to develop the language more and become proficient </w:t>
      </w:r>
      <w:r>
        <w:rPr/>
        <w:t xml:space="preserve">on it. Since Ika is the main indigenous language of the Ika South and North environments, </w:t>
      </w:r>
      <w:r>
        <w:rPr/>
        <w:t xml:space="preserve">Ika is the mother tongue of most of the children, the language of their mother inner </w:t>
      </w:r>
      <w:r>
        <w:rPr/>
        <w:t xml:space="preserve">expressions and their peer groups’ interrelation. The teaching of Ika will help to enhance the </w:t>
      </w:r>
      <w:r>
        <w:rPr/>
        <w:t xml:space="preserve">culture of the people, since the language is the child’s supposedly first language in which he </w:t>
      </w:r>
      <w:r>
        <w:rPr/>
        <w:t xml:space="preserve">thinks and acquire all his first experience and socialization, teaching it in schools (from the </w:t>
      </w:r>
      <w:r>
        <w:rPr/>
        <w:t xml:space="preserve">primary upward) will make him and those learning the language as a second language </w:t>
      </w:r>
      <w:r>
        <w:rPr/>
        <w:t xml:space="preserve">become more harmonized and united. It will help to strengthen the cultural ties that exist </w:t>
      </w:r>
      <w:r>
        <w:rPr/>
        <w:t xml:space="preserve">across the state which is quite diverse. </w:t>
      </w:r>
    </w:p>
    <w:p>
      <w:pPr>
        <w:pStyle w:val="PO151"/>
        <w:spacing w:lineRule="auto" w:line="360"/>
        <w:rPr/>
      </w:pPr>
      <w:r>
        <w:rPr/>
        <w:tab/>
      </w:r>
      <w:r>
        <w:rPr/>
        <w:t xml:space="preserve">The teaching of Ika will help to produce language teachers who in turn will help to </w:t>
      </w:r>
      <w:r>
        <w:rPr/>
        <w:t xml:space="preserve">make the language vital by disseminating the knowledge they have acquired to others. So any </w:t>
      </w:r>
      <w:r>
        <w:rPr/>
        <w:t xml:space="preserve">neglect and indifferent attitude in this direction will be disastrous for the future of the </w:t>
      </w:r>
      <w:r>
        <w:rPr/>
        <w:t xml:space="preserve">language. In the course of facilitating communication among the learners from the different </w:t>
      </w:r>
      <w:r>
        <w:rPr/>
        <w:t xml:space="preserve">ethnic backgrounds, IKA DIALECT teaching will foster integration, in addition the cultural </w:t>
      </w:r>
      <w:r>
        <w:rPr/>
        <w:t xml:space="preserve">unity identified above. Moreover, it will enhance interest and performance in the language </w:t>
      </w:r>
      <w:r>
        <w:rPr/>
        <w:t xml:space="preserve">and consequently lead to a better understanding of the world one is living in.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IKA DIALECT teaching will bring about new and better attitudes to the language as </w:t>
      </w:r>
      <w:r>
        <w:rPr>
          <w:sz w:val="24"/>
          <w:szCs w:val="24"/>
          <w:rFonts w:ascii="Times New Roman" w:hAnsi="Times New Roman" w:cs="Times New Roman"/>
        </w:rPr>
        <w:t xml:space="preserve">well as the more thorough understanding of the civil society. It will be a panacea for the </w:t>
      </w:r>
      <w:r>
        <w:rPr>
          <w:sz w:val="24"/>
          <w:szCs w:val="24"/>
          <w:rFonts w:ascii="Times New Roman" w:hAnsi="Times New Roman" w:cs="Times New Roman"/>
        </w:rPr>
        <w:t xml:space="preserve">much degraded cultural and moral decadence in the Ika society if carefully planned and </w:t>
      </w:r>
      <w:r>
        <w:rPr>
          <w:sz w:val="24"/>
          <w:szCs w:val="24"/>
          <w:rFonts w:ascii="Times New Roman" w:hAnsi="Times New Roman" w:cs="Times New Roman"/>
        </w:rPr>
        <w:t xml:space="preserve">executed. Students cannot refuse to be taught the language once it has been introduced in a </w:t>
      </w:r>
      <w:r>
        <w:rPr>
          <w:sz w:val="24"/>
          <w:szCs w:val="24"/>
          <w:rFonts w:ascii="Times New Roman" w:hAnsi="Times New Roman" w:cs="Times New Roman"/>
        </w:rPr>
        <w:t xml:space="preserve">systematic way as a compulsory subject from the primary school level up to the secondary </w:t>
      </w:r>
      <w:r>
        <w:rPr>
          <w:sz w:val="24"/>
          <w:szCs w:val="24"/>
          <w:rFonts w:ascii="Times New Roman" w:hAnsi="Times New Roman" w:cs="Times New Roman"/>
        </w:rPr>
        <w:t xml:space="preserve">school level. Their attitudes towards the language will change in the positive direction along </w:t>
      </w:r>
      <w:r>
        <w:rPr>
          <w:sz w:val="24"/>
          <w:szCs w:val="24"/>
          <w:rFonts w:ascii="Times New Roman" w:hAnsi="Times New Roman" w:cs="Times New Roman"/>
        </w:rPr>
        <w:t xml:space="preserve">with those of their parents and the society at large.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b w:val="1"/>
          <w:sz w:val="24"/>
          <w:szCs w:val="24"/>
          <w:rFonts w:ascii="Times New Roman" w:hAnsi="Times New Roman" w:cs="Times New Roman"/>
        </w:rPr>
        <w:t>9.</w:t>
      </w:r>
      <w:r>
        <w:rPr>
          <w:b w:val="1"/>
          <w:sz w:val="24"/>
          <w:szCs w:val="24"/>
          <w:rFonts w:ascii="Times New Roman" w:hAnsi="Times New Roman" w:cs="Times New Roman"/>
        </w:rPr>
        <w:tab/>
      </w:r>
      <w:r>
        <w:rPr>
          <w:b w:val="1"/>
          <w:sz w:val="24"/>
          <w:szCs w:val="24"/>
          <w:rFonts w:ascii="Times New Roman" w:hAnsi="Times New Roman" w:cs="Times New Roman"/>
        </w:rPr>
        <w:t>Conclusion</w:t>
      </w:r>
    </w:p>
    <w:p>
      <w:pPr>
        <w:jc w:val="both"/>
        <w:spacing w:lineRule="auto" w:line="360"/>
        <w:ind w:firstLine="72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results of the investigation led to the following conclusions. Many Ika speakers </w:t>
      </w:r>
      <w:r>
        <w:rPr>
          <w:sz w:val="24"/>
          <w:szCs w:val="24"/>
          <w:rFonts w:ascii="Times New Roman" w:hAnsi="Times New Roman" w:cs="Times New Roman"/>
        </w:rPr>
        <w:t xml:space="preserve">have a positive attitude towards the usage of English as a language of learning and teaching </w:t>
      </w:r>
      <w:r>
        <w:rPr>
          <w:sz w:val="24"/>
          <w:szCs w:val="24"/>
          <w:rFonts w:ascii="Times New Roman" w:hAnsi="Times New Roman" w:cs="Times New Roman"/>
        </w:rPr>
        <w:t xml:space="preserve">in schools and not IKA DIALECT. The findings also revealed that teachers have a negative </w:t>
      </w:r>
      <w:r>
        <w:rPr>
          <w:sz w:val="24"/>
          <w:szCs w:val="24"/>
          <w:rFonts w:ascii="Times New Roman" w:hAnsi="Times New Roman" w:cs="Times New Roman"/>
        </w:rPr>
        <w:t xml:space="preserve">attitude towards Ika as a language of learning and teaching and as an additional language to </w:t>
      </w:r>
      <w:r>
        <w:rPr>
          <w:sz w:val="24"/>
          <w:szCs w:val="24"/>
          <w:rFonts w:ascii="Times New Roman" w:hAnsi="Times New Roman" w:cs="Times New Roman"/>
        </w:rPr>
        <w:t xml:space="preserve">the English used in schools. The findings further revealed that parents have a lot of role to </w:t>
      </w:r>
      <w:r>
        <w:rPr>
          <w:sz w:val="24"/>
          <w:szCs w:val="24"/>
          <w:rFonts w:ascii="Times New Roman" w:hAnsi="Times New Roman" w:cs="Times New Roman"/>
        </w:rPr>
        <w:t xml:space="preserve">play in influencing their children’s and ward’s attitude towards the usage of Ika as a language </w:t>
      </w:r>
      <w:r>
        <w:rPr>
          <w:sz w:val="24"/>
          <w:szCs w:val="24"/>
          <w:rFonts w:ascii="Times New Roman" w:hAnsi="Times New Roman" w:cs="Times New Roman"/>
        </w:rPr>
        <w:t xml:space="preserve">of learning and teaching and as an additional language in schools, given the role of the </w:t>
      </w:r>
      <w:r>
        <w:rPr>
          <w:sz w:val="24"/>
          <w:szCs w:val="24"/>
          <w:rFonts w:ascii="Times New Roman" w:hAnsi="Times New Roman" w:cs="Times New Roman"/>
        </w:rPr>
        <w:t xml:space="preserve">language as an indigenous language and the emblem of the Ika peoples norms and culture as </w:t>
      </w:r>
      <w:r>
        <w:rPr>
          <w:sz w:val="24"/>
          <w:szCs w:val="24"/>
          <w:rFonts w:ascii="Times New Roman" w:hAnsi="Times New Roman" w:cs="Times New Roman"/>
        </w:rPr>
        <w:t xml:space="preserve">well as serving as a medium of identity with good prospects for learners.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spacing w:lineRule="auto" w:line="360"/>
        <w:rPr>
          <w:b w:val="1"/>
          <w:sz w:val="24"/>
          <w:szCs w:val="24"/>
          <w:caps w:val="1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References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Adegoju, A. (2009). Strengthening African Language Pedagogy via the Nigerian Television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>Authority.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Itupale Online Journal of African Studies</w:t>
      </w:r>
      <w:r>
        <w:rPr>
          <w:sz w:val="24"/>
          <w:szCs w:val="24"/>
          <w:rFonts w:ascii="Times New Roman" w:hAnsi="Times New Roman" w:cs="Times New Roman"/>
        </w:rPr>
        <w:t xml:space="preserve">, III.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Adriaen, M. V. (2002).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Challenge of Learning: Improving the Quality of Basic 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Education in Sub-Saharan Africa</w:t>
      </w:r>
      <w:r>
        <w:rPr>
          <w:sz w:val="24"/>
          <w:szCs w:val="24"/>
          <w:rFonts w:ascii="Times New Roman" w:hAnsi="Times New Roman" w:cs="Times New Roman"/>
        </w:rPr>
        <w:t xml:space="preserve">. Paris: ADEA.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Adzer, V. C. (2012).Factors Militating against the Development of Indigenous Languages: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The Tiv Language in Perspective.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Journal of Igbo Language &amp; Linguistics</w:t>
      </w:r>
      <w:r>
        <w:rPr>
          <w:sz w:val="24"/>
          <w:szCs w:val="24"/>
          <w:rFonts w:ascii="Times New Roman" w:hAnsi="Times New Roman" w:cs="Times New Roman"/>
        </w:rPr>
        <w:t xml:space="preserve">. 5, 2012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          ISSN – 05987518, 76-79.</w:t>
      </w:r>
    </w:p>
    <w:p>
      <w:pPr>
        <w:spacing w:lineRule="auto" w:line="360" w:after="0"/>
        <w:rPr>
          <w:i w:val="1"/>
          <w:color w:val="292526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color w:val="292526"/>
          <w:sz w:val="24"/>
          <w:szCs w:val="24"/>
          <w:rFonts w:ascii="Times New Roman" w:hAnsi="Times New Roman" w:cs="Times New Roman"/>
        </w:rPr>
        <w:t xml:space="preserve">Afigbo, A. E. (1987). </w:t>
      </w:r>
      <w:r>
        <w:rPr>
          <w:i w:val="1"/>
          <w:color w:val="292526"/>
          <w:sz w:val="24"/>
          <w:szCs w:val="24"/>
          <w:rFonts w:ascii="Times New Roman" w:hAnsi="Times New Roman" w:cs="Times New Roman"/>
        </w:rPr>
        <w:t xml:space="preserve">The Igbo and their Neigbours. Inter-Group Relations in Southern </w:t>
      </w:r>
    </w:p>
    <w:p>
      <w:pPr>
        <w:spacing w:lineRule="auto" w:line="360" w:after="0"/>
        <w:rPr>
          <w:i w:val="1"/>
          <w:color w:val="292526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i w:val="1"/>
          <w:color w:val="292526"/>
          <w:sz w:val="24"/>
          <w:szCs w:val="24"/>
          <w:rFonts w:ascii="Times New Roman" w:hAnsi="Times New Roman" w:cs="Times New Roman"/>
        </w:rPr>
        <w:t xml:space="preserve">Nigeria to 1953.</w:t>
      </w:r>
      <w:r>
        <w:rPr>
          <w:color w:val="292526"/>
          <w:sz w:val="24"/>
          <w:szCs w:val="24"/>
          <w:rFonts w:ascii="Times New Roman" w:hAnsi="Times New Roman" w:cs="Times New Roman"/>
        </w:rPr>
        <w:t>Ibadan:U.I.Press.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Agheyisi, R. N. and Fishman, J. A. (1970). Language attitude studies: A brief survey of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         Methodological approaches.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Anthropological Linguistics</w:t>
      </w:r>
      <w:r>
        <w:rPr>
          <w:sz w:val="24"/>
          <w:szCs w:val="24"/>
          <w:rFonts w:ascii="Times New Roman" w:hAnsi="Times New Roman" w:cs="Times New Roman"/>
        </w:rPr>
        <w:t xml:space="preserve">, 12 (5), 137-157.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Ajzen, I. (1988). Attitudes, personality, and behavior. Milton Keynes: Open University Press.</w:t>
      </w:r>
    </w:p>
    <w:p>
      <w:pPr>
        <w:jc w:val="both"/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Allport, G. W. (1935). Attitudes. Dalam C. Murchison (Ed.), A Handbook of Social </w:t>
      </w:r>
    </w:p>
    <w:p>
      <w:pPr>
        <w:jc w:val="both"/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        Psychology (pp. 798:844). Worcester, Mass.: Clark University Press. ‘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Baker, C. (1992).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Attitudes and language</w:t>
      </w:r>
      <w:r>
        <w:rPr>
          <w:sz w:val="24"/>
          <w:szCs w:val="24"/>
          <w:rFonts w:ascii="Times New Roman" w:hAnsi="Times New Roman" w:cs="Times New Roman"/>
        </w:rPr>
        <w:t xml:space="preserve">. Clevedon: Multilingual Matters.</w:t>
      </w:r>
    </w:p>
    <w:p>
      <w:pPr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Bamgbose, A. (1991).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Language and the Nations: The Language Question in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Sub-saharan African</w:t>
      </w:r>
      <w:r>
        <w:rPr>
          <w:sz w:val="24"/>
          <w:szCs w:val="24"/>
          <w:rFonts w:ascii="Times New Roman" w:hAnsi="Times New Roman" w:cs="Times New Roman"/>
        </w:rPr>
        <w:t xml:space="preserve">. Edinburgh: Edinburgh University Press.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Cooper, R. L., &amp; Fishman, J. A. (1974).The Study of Language Attitudes. International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         Journal of the Sociology of Language, 3, 5-19</w:t>
      </w:r>
    </w:p>
    <w:p>
      <w:pPr>
        <w:jc w:val="both"/>
        <w:spacing w:lineRule="auto" w:line="360" w:after="0"/>
        <w:rPr>
          <w:i w:val="1"/>
          <w:color w:val="252525"/>
          <w:sz w:val="24"/>
          <w:szCs w:val="24"/>
          <w:shd w:val="clear" w:color="000000" w:fill="FFFFFF"/>
          <w:rFonts w:ascii="Times New Roman" w:hAnsi="Times New Roman" w:cs="Times New Roman"/>
        </w:rPr>
      </w:pPr>
      <w:r>
        <w:rPr>
          <w:color w:val="252525"/>
          <w:sz w:val="24"/>
          <w:szCs w:val="24"/>
          <w:shd w:val="clear" w:color="000000" w:fill="FFFFFF"/>
          <w:rFonts w:ascii="Times New Roman" w:hAnsi="Times New Roman" w:cs="Times New Roman"/>
        </w:rPr>
        <w:t xml:space="preserve">Doughty, P. &amp; Thornton, G. (1973).</w:t>
      </w:r>
      <w:r>
        <w:rPr>
          <w:i w:val="1"/>
          <w:color w:val="252525"/>
          <w:sz w:val="24"/>
          <w:szCs w:val="24"/>
          <w:shd w:val="clear" w:color="000000" w:fill="FFFFFF"/>
          <w:rFonts w:ascii="Times New Roman" w:hAnsi="Times New Roman" w:cs="Times New Roman"/>
        </w:rPr>
        <w:t xml:space="preserve">Language study, the teacher and learner.</w:t>
      </w:r>
    </w:p>
    <w:p>
      <w:pPr>
        <w:jc w:val="both"/>
        <w:spacing w:lineRule="auto" w:line="360" w:after="0"/>
        <w:rPr>
          <w:color w:val="252525"/>
          <w:sz w:val="24"/>
          <w:szCs w:val="24"/>
          <w:shd w:val="clear" w:color="000000" w:fill="FFFFFF"/>
          <w:rFonts w:ascii="Times New Roman" w:hAnsi="Times New Roman" w:cs="Times New Roman"/>
        </w:rPr>
      </w:pPr>
      <w:r>
        <w:rPr>
          <w:color w:val="252525"/>
          <w:sz w:val="24"/>
          <w:szCs w:val="24"/>
          <w:shd w:val="clear" w:color="000000" w:fill="FFFFFF"/>
          <w:rFonts w:ascii="Times New Roman" w:hAnsi="Times New Roman" w:cs="Times New Roman"/>
        </w:rPr>
        <w:t xml:space="preserve">London: Edward Arnold.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Edwards, J. (1982). Language Attitudes and Implications Among English Speakers. Dalam E.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        B. Ryan &amp; H. Giles (Eds.), </w:t>
      </w:r>
      <w:r>
        <w:rPr>
          <w:i w:val="1"/>
          <w:sz w:val="24"/>
          <w:szCs w:val="24"/>
          <w:rFonts w:ascii="Times New Roman" w:eastAsia="Times New Roman" w:hAnsi="Times New Roman" w:cs="Times New Roman"/>
        </w:rPr>
        <w:t xml:space="preserve">Attitudes Towards Language Variations</w:t>
      </w:r>
      <w:r>
        <w:rPr>
          <w:sz w:val="24"/>
          <w:szCs w:val="24"/>
          <w:rFonts w:ascii="Times New Roman" w:eastAsia="Times New Roman" w:hAnsi="Times New Roman" w:cs="Times New Roman"/>
        </w:rPr>
        <w:t xml:space="preserve"> (pp. 20-33).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        London: Arnold. </w:t>
      </w:r>
    </w:p>
    <w:p>
      <w:pPr>
        <w:pStyle w:val="PO153"/>
        <w:spacing w:lineRule="auto" w:line="360"/>
        <w:rPr/>
      </w:pPr>
      <w:r>
        <w:rPr/>
        <w:t xml:space="preserve">Emenanjo, E.N. (1995). Language and the National Policy on Education: </w:t>
      </w:r>
    </w:p>
    <w:p>
      <w:pPr>
        <w:pStyle w:val="PO153"/>
        <w:spacing w:lineRule="auto" w:line="360"/>
        <w:rPr>
          <w:i w:val="1"/>
        </w:rPr>
      </w:pPr>
      <w:r>
        <w:rPr/>
        <w:t xml:space="preserve">         Implications And Prospects.  </w:t>
      </w:r>
      <w:r>
        <w:rPr>
          <w:i w:val="1"/>
        </w:rPr>
        <w:t xml:space="preserve">Fafunwa Foundation Internet Journal of </w:t>
      </w:r>
    </w:p>
    <w:p>
      <w:pPr>
        <w:pStyle w:val="PO153"/>
        <w:spacing w:lineRule="auto" w:line="360"/>
        <w:rPr>
          <w:i w:val="1"/>
        </w:rPr>
      </w:pPr>
      <w:r>
        <w:rPr>
          <w:i w:val="1"/>
        </w:rPr>
        <w:t>Education.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Fakeye, D. O. (2014). English Language proficiency as a predictor of academic 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achievement among EFL students in Nigeria.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Journal of Education and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        Practice</w:t>
      </w:r>
      <w:r>
        <w:rPr>
          <w:sz w:val="24"/>
          <w:szCs w:val="24"/>
          <w:rFonts w:ascii="Times New Roman" w:hAnsi="Times New Roman" w:cs="Times New Roman"/>
        </w:rPr>
        <w:t xml:space="preserve">, 5(9): 38-41.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Fasold, R. (1984).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sociolinguistics of society</w:t>
      </w:r>
      <w:r>
        <w:rPr>
          <w:sz w:val="24"/>
          <w:szCs w:val="24"/>
          <w:rFonts w:ascii="Times New Roman" w:hAnsi="Times New Roman" w:cs="Times New Roman"/>
        </w:rPr>
        <w:t xml:space="preserve">.(Ch. 6 Language attitudes). Oxford: Basil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       Blackwell.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Fishbein, M. &amp; Ajzen, I. (1975).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Belief, attitude, intention and behaviour; An introduction to 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theory and research</w:t>
      </w:r>
      <w:r>
        <w:rPr>
          <w:sz w:val="24"/>
          <w:szCs w:val="24"/>
          <w:rFonts w:ascii="Times New Roman" w:hAnsi="Times New Roman" w:cs="Times New Roman"/>
        </w:rPr>
        <w:t xml:space="preserve">. Reading, MA: Addison-Wesley.</w:t>
      </w:r>
    </w:p>
    <w:p>
      <w:pPr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Gal, S. (1979).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Language shift: Social determinants of linguistic change in bilingual Austria.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New York: Academic Press.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Giles, H., Hewstone, M., Ryan, E., &amp; Johnson (1987).Research on Language Attitudes.In U.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          Ammon, N. Dittmar &amp; K.J. Mattheier (eds.),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Sociolinguistics. An International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Handbook of the Science of Language and Society</w:t>
      </w:r>
      <w:r>
        <w:rPr>
          <w:sz w:val="24"/>
          <w:szCs w:val="24"/>
          <w:rFonts w:ascii="Times New Roman" w:hAnsi="Times New Roman" w:cs="Times New Roman"/>
        </w:rPr>
        <w:t xml:space="preserve">.vol. I.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Greenberg, J. H. (1963).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languages of Africa</w:t>
      </w:r>
      <w:r>
        <w:rPr>
          <w:sz w:val="24"/>
          <w:szCs w:val="24"/>
          <w:rFonts w:ascii="Times New Roman" w:hAnsi="Times New Roman" w:cs="Times New Roman"/>
        </w:rPr>
        <w:t xml:space="preserve">. Bloomington: Indiana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>University.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McGuire, W. J. (1969). The nature of attitudes and attitude change. Dalam G. Lindzey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&amp; E. Aronson (Eds.), </w:t>
      </w:r>
      <w:r>
        <w:rPr>
          <w:i w:val="1"/>
          <w:sz w:val="24"/>
          <w:szCs w:val="24"/>
          <w:rFonts w:ascii="Times New Roman" w:eastAsia="Times New Roman" w:hAnsi="Times New Roman" w:cs="Times New Roman"/>
        </w:rPr>
        <w:t xml:space="preserve">The Handbook of Social Psychology</w:t>
      </w:r>
      <w:r>
        <w:rPr>
          <w:sz w:val="24"/>
          <w:szCs w:val="24"/>
          <w:rFonts w:ascii="Times New Roman" w:eastAsia="Times New Roman" w:hAnsi="Times New Roman" w:cs="Times New Roman"/>
        </w:rPr>
        <w:t xml:space="preserve"> (edisi kedua vol. 3) (pp. 136-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        314). Reading, Mass.: Addison Wesley.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Ogunsiji, Y. (2012). The Challenges and Prospects of Hybridizing  Aspects of L1 &amp; L2 in the </w:t>
      </w:r>
    </w:p>
    <w:p>
      <w:pPr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Teaching of Language and Literature in Nigeria.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British Journal of Arts and Social </w:t>
      </w:r>
    </w:p>
    <w:p>
      <w:pPr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         Sciences</w:t>
      </w:r>
      <w:r>
        <w:rPr>
          <w:sz w:val="24"/>
          <w:szCs w:val="24"/>
          <w:rFonts w:ascii="Times New Roman" w:hAnsi="Times New Roman" w:cs="Times New Roman"/>
        </w:rPr>
        <w:t xml:space="preserve"> ISSN: 2046-9578, 5 (1).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</w:p>
    <w:p>
      <w:pPr>
        <w:spacing w:lineRule="auto" w:line="360" w:after="0"/>
        <w:rPr>
          <w:i w:val="1"/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eastAsia="Times New Roman" w:hAnsi="Times New Roman" w:cs="Times New Roman"/>
        </w:rPr>
        <w:t xml:space="preserve">Okolugbo, O. E. (2004). </w:t>
      </w:r>
      <w:r>
        <w:rPr>
          <w:i w:val="1"/>
          <w:sz w:val="24"/>
          <w:szCs w:val="24"/>
          <w:rFonts w:ascii="Times New Roman" w:eastAsia="Times New Roman" w:hAnsi="Times New Roman" w:cs="Times New Roman"/>
        </w:rPr>
        <w:t xml:space="preserve">History of the Ukwuani and Ndosumili: People of </w:t>
      </w:r>
    </w:p>
    <w:p>
      <w:pPr>
        <w:spacing w:lineRule="auto" w:line="360" w:after="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i w:val="1"/>
          <w:sz w:val="24"/>
          <w:szCs w:val="24"/>
          <w:rFonts w:ascii="Times New Roman" w:eastAsia="Times New Roman" w:hAnsi="Times New Roman" w:cs="Times New Roman"/>
        </w:rPr>
        <w:t xml:space="preserve">the Niger Delta</w:t>
      </w:r>
      <w:r>
        <w:rPr>
          <w:sz w:val="24"/>
          <w:szCs w:val="24"/>
          <w:rFonts w:ascii="Times New Roman" w:eastAsia="Times New Roman" w:hAnsi="Times New Roman" w:cs="Times New Roman"/>
        </w:rPr>
        <w:t xml:space="preserve">. Benin City: Ethiope Publication. 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Onyeche, J. (2002). The Ika Community: A Sociolinguistics Description.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Africa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&amp; Asia,</w:t>
      </w:r>
      <w:r>
        <w:rPr>
          <w:sz w:val="24"/>
          <w:szCs w:val="24"/>
          <w:rFonts w:ascii="Times New Roman" w:hAnsi="Times New Roman" w:cs="Times New Roman"/>
        </w:rPr>
        <w:t xml:space="preserve"> (2), 42-53.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Piaget, J. (1970). Piaget’s theory. In P. Mussen (Ed.),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Carmichaels’ manual of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child psychology</w:t>
      </w:r>
      <w:r>
        <w:rPr>
          <w:sz w:val="24"/>
          <w:szCs w:val="24"/>
          <w:rFonts w:ascii="Times New Roman" w:hAnsi="Times New Roman" w:cs="Times New Roman"/>
        </w:rPr>
        <w:t xml:space="preserve"> (3rd ed.), I, New York: Wiley.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Rajecki, D. W. (1982).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Attitude themes and advances.</w:t>
      </w:r>
      <w:r>
        <w:rPr>
          <w:sz w:val="24"/>
          <w:szCs w:val="24"/>
          <w:rFonts w:ascii="Times New Roman" w:hAnsi="Times New Roman" w:cs="Times New Roman"/>
        </w:rPr>
        <w:t xml:space="preserve"> Sunderland Snower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       Associates Inc.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Ryan, E and Giles, H. (1982).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Attitudes toward Language Variation: Social and Applied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>Contexts</w:t>
      </w:r>
      <w:r>
        <w:rPr>
          <w:sz w:val="24"/>
          <w:szCs w:val="24"/>
          <w:rFonts w:ascii="Times New Roman" w:hAnsi="Times New Roman" w:cs="Times New Roman"/>
        </w:rPr>
        <w:t xml:space="preserve">. Arnold.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Simpson, M. (1936).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Intelligence report on Agbor, Oligie and Emuhu Clans,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 xml:space="preserve">Agbor District, Asaba Division, Benin Province</w:t>
      </w:r>
      <w:r>
        <w:rPr>
          <w:sz w:val="24"/>
          <w:szCs w:val="24"/>
          <w:rFonts w:ascii="Times New Roman" w:hAnsi="Times New Roman" w:cs="Times New Roman"/>
        </w:rPr>
        <w:t xml:space="preserve">.No. 11118A.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Vygotsky, L. (1930b/1981). The instrumental method in psychology.In J.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       Wertsch (Ed.),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concept of activity in Soviet psychology</w:t>
      </w:r>
      <w:r>
        <w:rPr>
          <w:sz w:val="24"/>
          <w:szCs w:val="24"/>
          <w:rFonts w:ascii="Times New Roman" w:hAnsi="Times New Roman" w:cs="Times New Roman"/>
        </w:rPr>
        <w:t xml:space="preserve"> (136-143),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       Armonk, NY: Sharpe.</w:t>
      </w:r>
    </w:p>
    <w:p>
      <w:pPr>
        <w:jc w:val="both"/>
        <w:spacing w:lineRule="auto" w:line="360" w:after="0"/>
        <w:rPr>
          <w:i w:val="1"/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Williamson, K. (1968.) An Introduction to Ika and Ukwuani.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Occasional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i w:val="1"/>
          <w:sz w:val="24"/>
          <w:szCs w:val="24"/>
          <w:rFonts w:ascii="Times New Roman" w:hAnsi="Times New Roman" w:cs="Times New Roman"/>
        </w:rPr>
        <w:t>publications</w:t>
      </w:r>
      <w:r>
        <w:rPr>
          <w:sz w:val="24"/>
          <w:szCs w:val="24"/>
          <w:rFonts w:ascii="Times New Roman" w:hAnsi="Times New Roman" w:cs="Times New Roman"/>
        </w:rPr>
        <w:t xml:space="preserve">, (4). Institute of African Studies, University of Ibadan.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rPr>
          <w:b w:val="1"/>
          <w:sz w:val="24"/>
          <w:szCs w:val="24"/>
          <w:rFonts w:ascii="Times New Roman" w:hAnsi="Times New Roman" w:cs="Times New Roman"/>
        </w:rPr>
      </w:pPr>
    </w:p>
    <w:sectPr>
      <w:footerReference w:type="default" r:id="rId5"/>
      <w:pgSz w:w="11909" w:h="16834" w:code="9"/>
      <w:pgMar w:top="1440" w:left="1440" w:bottom="1440" w:right="1440" w:gutter="0"/>
      <w:pgNumType w:fmt="decimal" w:start="1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5="http://schemas.microsoft.com/office/word/2012/wordml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159"/>
      <w:jc w:val="center"/>
      <w:rPr/>
    </w:pPr>
    <w:r>
      <w:rPr/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/>
      <w:t>1</w:t>
    </w:r>
    <w:r>
      <w:rPr/>
      <w:fldChar w:fldCharType="end"/>
    </w:r>
  </w:p>
  <w:p>
    <w:pPr>
      <w:pStyle w:val="PO159"/>
      <w:rPr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3555E43A"/>
    <w:lvl w:ilvl="0">
      <w:lvlJc w:val="left"/>
      <w:numFmt w:val="lowerLetter"/>
      <w:start w:val="1"/>
      <w:suff w:val="tab"/>
      <w:pPr>
        <w:ind w:left="1440" w:hanging="360"/>
        <w:rPr/>
      </w:pPr>
      <w:rPr>
        <w:rFonts w:hint="default"/>
      </w:rPr>
      <w:lvlText w:val="(%1)"/>
    </w:lvl>
    <w:lvl w:ilvl="1">
      <w:lvlJc w:val="left"/>
      <w:numFmt w:val="lowerLetter"/>
      <w:start w:val="1"/>
      <w:suff w:val="tab"/>
      <w:pPr>
        <w:ind w:left="216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88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360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432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504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76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648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7200" w:hanging="180"/>
        <w:rPr/>
      </w:pPr>
      <w:rPr/>
      <w:lvlText w:val="%9."/>
    </w:lvl>
  </w:abstractNum>
  <w:abstractNum w:abstractNumId="1">
    <w:multiLevelType w:val="hybridMultilevel"/>
    <w:nsid w:val="2F000001"/>
    <w:tmpl w:val="3F8A42F2"/>
    <w:lvl w:ilvl="0">
      <w:lvlJc w:val="left"/>
      <w:numFmt w:val="lowerRoman"/>
      <w:start w:val="1"/>
      <w:suff w:val="tab"/>
      <w:pPr>
        <w:ind w:left="1080" w:hanging="720"/>
        <w:tabs>
          <w:tab w:val="left" w:pos="1080"/>
        </w:tabs>
        <w:rPr/>
      </w:pPr>
      <w:rPr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tabs>
          <w:tab w:val="left" w:pos="1440"/>
        </w:tabs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tabs>
          <w:tab w:val="left" w:pos="2160"/>
        </w:tabs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tabs>
          <w:tab w:val="left" w:pos="2880"/>
        </w:tabs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tabs>
          <w:tab w:val="left" w:pos="3600"/>
        </w:tabs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tabs>
          <w:tab w:val="left" w:pos="4320"/>
        </w:tabs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tabs>
          <w:tab w:val="left" w:pos="5040"/>
        </w:tabs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tabs>
          <w:tab w:val="left" w:pos="5760"/>
        </w:tabs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tabs>
          <w:tab w:val="left" w:pos="6480"/>
        </w:tabs>
        <w:rPr/>
      </w:pPr>
      <w:rPr/>
      <w:lvlText w:val="%9."/>
    </w:lvl>
  </w:abstractNum>
  <w:abstractNum w:abstractNumId="2">
    <w:multiLevelType w:val="multilevel"/>
    <w:nsid w:val="2F000002"/>
    <w:tmpl w:val="326A764C"/>
    <w:lvl w:ilvl="0">
      <w:lvlJc w:val="left"/>
      <w:numFmt w:val="decimal"/>
      <w:start w:val="1"/>
      <w:suff w:val="tab"/>
      <w:pPr>
        <w:ind w:left="720" w:hanging="360"/>
        <w:rPr/>
      </w:pPr>
      <w:rPr>
        <w:rFonts w:hint="default"/>
      </w:rPr>
      <w:lvlText w:val="%1."/>
    </w:lvl>
    <w:lvl w:ilvl="1">
      <w:lvlJc w:val="left"/>
      <w:numFmt w:val="decimal"/>
      <w:start w:val="1"/>
      <w:suff w:val="tab"/>
      <w:pPr>
        <w:ind w:left="1350" w:hanging="720"/>
        <w:rPr/>
      </w:pPr>
      <w:rPr>
        <w:rFonts w:hint="default"/>
      </w:rPr>
      <w:lvlText w:val="%1.%2"/>
    </w:lvl>
    <w:lvl w:ilvl="2">
      <w:lvlJc w:val="left"/>
      <w:numFmt w:val="decimal"/>
      <w:start w:val="1"/>
      <w:suff w:val="tab"/>
      <w:pPr>
        <w:ind w:left="1080" w:hanging="720"/>
        <w:rPr/>
      </w:pPr>
      <w:rPr>
        <w:rFonts w:hint="default"/>
      </w:rPr>
      <w:lvlText w:val="%1.%2.%3"/>
    </w:lvl>
    <w:lvl w:ilvl="3">
      <w:lvlJc w:val="left"/>
      <w:numFmt w:val="decimal"/>
      <w:start w:val="1"/>
      <w:suff w:val="tab"/>
      <w:pPr>
        <w:ind w:left="1440" w:hanging="1080"/>
        <w:rPr/>
      </w:pPr>
      <w:rPr>
        <w:rFonts w:hint="default"/>
      </w:rPr>
      <w:lvlText w:val="%1.%2.%3.%4"/>
    </w:lvl>
    <w:lvl w:ilvl="4">
      <w:lvlJc w:val="left"/>
      <w:numFmt w:val="decimal"/>
      <w:start w:val="1"/>
      <w:suff w:val="tab"/>
      <w:pPr>
        <w:ind w:left="1800" w:hanging="1440"/>
        <w:rPr/>
      </w:pPr>
      <w:rPr>
        <w:rFonts w:hint="default"/>
      </w:rPr>
      <w:lvlText w:val="%1.%2.%3.%4.%5"/>
    </w:lvl>
    <w:lvl w:ilvl="5">
      <w:lvlJc w:val="left"/>
      <w:numFmt w:val="decimal"/>
      <w:start w:val="1"/>
      <w:suff w:val="tab"/>
      <w:pPr>
        <w:ind w:left="2160" w:hanging="1800"/>
        <w:rPr/>
      </w:pPr>
      <w:rPr>
        <w:rFonts w:hint="default"/>
      </w:rPr>
      <w:lvlText w:val="%1.%2.%3.%4.%5.%6"/>
    </w:lvl>
    <w:lvl w:ilvl="6">
      <w:lvlJc w:val="left"/>
      <w:numFmt w:val="decimal"/>
      <w:start w:val="1"/>
      <w:suff w:val="tab"/>
      <w:pPr>
        <w:ind w:left="2160" w:hanging="1800"/>
        <w:rPr/>
      </w:pPr>
      <w:rPr>
        <w:rFonts w:hint="default"/>
      </w:rPr>
      <w:lvlText w:val="%1.%2.%3.%4.%5.%6.%7"/>
    </w:lvl>
    <w:lvl w:ilvl="7">
      <w:lvlJc w:val="left"/>
      <w:numFmt w:val="decimal"/>
      <w:start w:val="1"/>
      <w:suff w:val="tab"/>
      <w:pPr>
        <w:ind w:left="2520" w:hanging="2160"/>
        <w:rPr/>
      </w:pPr>
      <w:rPr>
        <w:rFonts w:hint="default"/>
      </w:rPr>
      <w:lvlText w:val="%1.%2.%3.%4.%5.%6.%7.%8"/>
    </w:lvl>
    <w:lvl w:ilvl="8">
      <w:lvlJc w:val="left"/>
      <w:numFmt w:val="decimal"/>
      <w:start w:val="1"/>
      <w:suff w:val="tab"/>
      <w:pPr>
        <w:ind w:left="2880" w:hanging="2520"/>
        <w:rPr/>
      </w:pPr>
      <w:rPr>
        <w:rFonts w:hint="default"/>
      </w:rPr>
      <w:lvlText w:val="%1.%2.%3.%4.%5.%6.%7.%8.%9"/>
    </w:lvl>
  </w:abstractNum>
  <w:abstractNum w:abstractNumId="3">
    <w:multiLevelType w:val="hybridMultilevel"/>
    <w:nsid w:val="2F000003"/>
    <w:tmpl w:val="38172E37"/>
    <w:lvl w:ilvl="0">
      <w:lvlJc w:val="left"/>
      <w:numFmt w:val="lowerLetter"/>
      <w:start w:val="1"/>
      <w:suff w:val="tab"/>
      <w:pPr>
        <w:ind w:left="1440" w:hanging="360"/>
        <w:rPr/>
      </w:pPr>
      <w:rPr>
        <w:rFonts w:hint="default"/>
      </w:rPr>
      <w:lvlText w:val="(%1)"/>
    </w:lvl>
    <w:lvl w:ilvl="1">
      <w:lvlJc w:val="left"/>
      <w:numFmt w:val="lowerLetter"/>
      <w:start w:val="1"/>
      <w:suff w:val="tab"/>
      <w:pPr>
        <w:ind w:left="216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88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360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432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504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76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648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7200" w:hanging="180"/>
        <w:rPr/>
      </w:pPr>
      <w:rPr/>
      <w:lvlText w:val="%9."/>
    </w:lvl>
  </w:abstractNum>
  <w:abstractNum w:abstractNumId="4">
    <w:multiLevelType w:val="hybridMultilevel"/>
    <w:nsid w:val="2F000004"/>
    <w:tmpl w:val="2C9F7BB7"/>
    <w:lvl w:ilvl="0">
      <w:lvlJc w:val="left"/>
      <w:numFmt w:val="lowerLetter"/>
      <w:start w:val="1"/>
      <w:suff w:val="tab"/>
      <w:pPr>
        <w:ind w:left="720" w:hanging="360"/>
        <w:rPr/>
      </w:pPr>
      <w:rPr>
        <w:rFonts w:ascii="Bookman Old Style" w:hAnsi="Bookman Old Style" w:eastAsiaTheme="minorHAnsi" w:cstheme="minorBidi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rPr/>
      <w:lvlText w:val="%9."/>
    </w:lvl>
  </w:abstractNum>
  <w:abstractNum w:abstractNumId="5">
    <w:multiLevelType w:val="hybridMultilevel"/>
    <w:nsid w:val="2F000005"/>
    <w:tmpl w:val="43723136"/>
    <w:lvl w:ilvl="0">
      <w:lvlJc w:val="left"/>
      <w:numFmt w:val="decimal"/>
      <w:start w:val="1"/>
      <w:suff w:val="tab"/>
      <w:pPr>
        <w:ind w:left="720" w:hanging="360"/>
        <w:rPr/>
      </w:pPr>
      <w:rPr>
        <w:rFonts w:hint="default"/>
      </w:rPr>
      <w:lvlText w:val="(%1)"/>
    </w:lvl>
    <w:lvl w:ilvl="1">
      <w:lvlJc w:val="left"/>
      <w:numFmt w:val="lowerLetter"/>
      <w:start w:val="1"/>
      <w:suff w:val="tab"/>
      <w:pPr>
        <w:ind w:left="144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rPr/>
      <w:lvlText w:val="%9."/>
    </w:lvl>
  </w:abstractNum>
  <w:abstractNum w:abstractNumId="6">
    <w:multiLevelType w:val="hybridMultilevel"/>
    <w:nsid w:val="2F000006"/>
    <w:tmpl w:val="4A44DC5F"/>
    <w:lvl w:ilvl="0">
      <w:lvlJc w:val="left"/>
      <w:numFmt w:val="lowerRoman"/>
      <w:start w:val="1"/>
      <w:suff w:val="tab"/>
      <w:pPr>
        <w:ind w:left="1080" w:hanging="720"/>
        <w:rPr/>
      </w:pPr>
      <w:rPr>
        <w:rFonts w:hint="default"/>
      </w:rPr>
      <w:lvlText w:val="(%1)"/>
    </w:lvl>
    <w:lvl w:ilvl="1">
      <w:lvlJc w:val="left"/>
      <w:numFmt w:val="lowerLetter"/>
      <w:start w:val="1"/>
      <w:suff w:val="tab"/>
      <w:pPr>
        <w:ind w:left="144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rPr/>
      <w:lvlText w:val="%9."/>
    </w:lvl>
  </w:abstractNum>
  <w:abstractNum w:abstractNumId="7">
    <w:multiLevelType w:val="hybridMultilevel"/>
    <w:nsid w:val="2F000007"/>
    <w:tmpl w:val="2485D4E0"/>
    <w:lvl w:ilvl="0">
      <w:lvlJc w:val="left"/>
      <w:numFmt w:val="decimal"/>
      <w:start w:val="1"/>
      <w:suff w:val="tab"/>
      <w:pPr>
        <w:ind w:left="720" w:hanging="360"/>
        <w:rPr/>
      </w:pPr>
      <w:rPr>
        <w:rFonts w:hint="default"/>
      </w:rPr>
      <w:lvlText w:val="(%1)"/>
    </w:lvl>
    <w:lvl w:ilvl="1">
      <w:lvlJc w:val="left"/>
      <w:numFmt w:val="lowerLetter"/>
      <w:start w:val="1"/>
      <w:suff w:val="tab"/>
      <w:pPr>
        <w:ind w:left="144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rPr/>
      <w:lvlText w:val="%9.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lineRule="auto" w:line="275" w:after="200"/>
        <w:rPr/>
      </w:pPr>
    </w:pPrDefault>
    <w:rPrDefault>
      <w:rPr>
        <w:sz w:val="22"/>
        <w:szCs w:val="22"/>
        <w:rFonts w:asciiTheme="minorHAnsi" w:eastAsiaTheme="minorEastAsia" w:hAnsiTheme="minorHAnsi" w:cstheme="minorBidi"/>
        <w:lang w:bidi="ar-SA" w:eastAsia="en-US" w:val="en-US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26" w:type="paragraph">
    <w:name w:val="List Paragraph"/>
    <w:basedOn w:val="PO1"/>
    <w:qFormat/>
    <w:uiPriority w:val="26"/>
    <w:pPr>
      <w:contextualSpacing w:val="1"/>
      <w:ind w:left="720" w:firstLine="0"/>
      <w:rPr/>
    </w:pPr>
  </w:style>
  <w:style w:styleId="PO37" w:type="table">
    <w:name w:val="Table Grid"/>
    <w:basedOn w:val="PO3"/>
    <w:uiPriority w:val="37"/>
    <w:pPr>
      <w:spacing w:lineRule="auto" w:line="240" w:after="0"/>
      <w:rPr/>
    </w:pPr>
    <w:tblPr>
      <w:tblBorders>
        <w:bottom w:val="single" w:color="000000" w:themeColor="text1" w:sz="4"/>
        <w:insideH w:val="single" w:color="000000" w:themeColor="text1" w:sz="4"/>
        <w:insideV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1" w:type="paragraph">
    <w:name w:val="Body Text"/>
    <w:basedOn w:val="PO1"/>
    <w:link w:val="PO152"/>
    <w:uiPriority w:val="151"/>
    <w:semiHidden/>
    <w:pPr>
      <w:jc w:val="both"/>
      <w:spacing w:lineRule="auto" w:line="480" w:after="0"/>
      <w:rPr/>
    </w:pPr>
    <w:rPr>
      <w:sz w:val="24"/>
      <w:szCs w:val="24"/>
      <w:rFonts w:ascii="Times New Roman" w:eastAsia="Times New Roman" w:hAnsi="Times New Roman" w:cs="Times New Roman"/>
    </w:rPr>
  </w:style>
  <w:style w:customStyle="1" w:styleId="PO152" w:type="character">
    <w:name w:val="Body Text Char"/>
    <w:basedOn w:val="PO2"/>
    <w:link w:val="PO151"/>
    <w:uiPriority w:val="152"/>
    <w:semiHidden/>
    <w:rPr>
      <w:sz w:val="24"/>
      <w:szCs w:val="24"/>
      <w:rFonts w:ascii="Times New Roman" w:eastAsia="Times New Roman" w:hAnsi="Times New Roman" w:cs="Times New Roman"/>
    </w:rPr>
  </w:style>
  <w:style w:customStyle="1" w:styleId="PO153" w:type="paragraph">
    <w:name w:val="Default"/>
    <w:uiPriority w:val="153"/>
    <w:pPr>
      <w:spacing w:lineRule="auto" w:line="240" w:after="0"/>
      <w:rPr/>
      <w:autoSpaceDE w:val="0"/>
      <w:autoSpaceDN w:val="0"/>
    </w:pPr>
    <w:rPr>
      <w:color w:val="000000"/>
      <w:sz w:val="24"/>
      <w:szCs w:val="24"/>
      <w:rFonts w:ascii="Times New Roman" w:hAnsi="Times New Roman" w:cs="Times New Roman"/>
    </w:rPr>
  </w:style>
  <w:style w:styleId="PO154" w:type="character">
    <w:name w:val="Hyperlink"/>
    <w:basedOn w:val="PO2"/>
    <w:uiPriority w:val="154"/>
    <w:unhideWhenUsed/>
    <w:rPr>
      <w:color w:val="0000FF"/>
      <w:u w:val="single"/>
    </w:rPr>
  </w:style>
  <w:style w:customStyle="1" w:styleId="PO155" w:type="character">
    <w:name w:val="apple-converted-space"/>
    <w:basedOn w:val="PO2"/>
    <w:uiPriority w:val="155"/>
  </w:style>
  <w:style w:customStyle="1" w:styleId="PO156" w:type="character">
    <w:name w:val="reference-text"/>
    <w:basedOn w:val="PO2"/>
    <w:uiPriority w:val="156"/>
  </w:style>
  <w:style w:styleId="PO157" w:type="paragraph">
    <w:name w:val="header"/>
    <w:basedOn w:val="PO1"/>
    <w:link w:val="PO158"/>
    <w:uiPriority w:val="157"/>
    <w:semiHidden/>
    <w:unhideWhenUsed/>
    <w:pPr>
      <w:spacing w:lineRule="auto" w:line="240" w:after="0"/>
      <w:tabs>
        <w:tab w:val="center" w:pos="4680"/>
        <w:tab w:val="right" w:pos="9360"/>
      </w:tabs>
      <w:rPr/>
    </w:pPr>
  </w:style>
  <w:style w:customStyle="1" w:styleId="PO158" w:type="character">
    <w:name w:val="Header Char"/>
    <w:basedOn w:val="PO2"/>
    <w:link w:val="PO157"/>
    <w:uiPriority w:val="158"/>
    <w:semiHidden/>
  </w:style>
  <w:style w:styleId="PO159" w:type="paragraph">
    <w:name w:val="footer"/>
    <w:basedOn w:val="PO1"/>
    <w:link w:val="PO160"/>
    <w:uiPriority w:val="159"/>
    <w:unhideWhenUsed/>
    <w:pPr>
      <w:spacing w:lineRule="auto" w:line="240" w:after="0"/>
      <w:tabs>
        <w:tab w:val="center" w:pos="4680"/>
        <w:tab w:val="right" w:pos="9360"/>
      </w:tabs>
      <w:rPr/>
    </w:pPr>
  </w:style>
  <w:style w:customStyle="1" w:styleId="PO160" w:type="character">
    <w:name w:val="Footer Char"/>
    <w:basedOn w:val="PO2"/>
    <w:link w:val="PO159"/>
    <w:uiPriority w:val="1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2.xml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37192</Characters>
  <CharactersWithSpaces>0</CharactersWithSpaces>
  <Company>Hewlett-Packard</Company>
  <DocSecurity>0</DocSecurity>
  <HyperlinksChanged>false</HyperlinksChanged>
  <Lines>264</Lines>
  <LinksUpToDate>false</LinksUpToDate>
  <Pages>17</Pages>
  <Paragraphs>74</Paragraphs>
  <Words>5562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New</dc:creator>
  <cp:lastModifiedBy/>
  <dcterms:modified xsi:type="dcterms:W3CDTF">2021-09-25T12:22:00Z</dcterms:modified>
</cp:coreProperties>
</file>