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18A80" w14:textId="77777777" w:rsidR="004139E1" w:rsidRDefault="00C53D0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CONTEXT-MOTIVATED ENGLISH INTONATION CHOICES IN NIGERIA NATIONAL ASSEMBLY PLENARY SESSIONS</w:t>
      </w:r>
    </w:p>
    <w:p w14:paraId="1F9B5799" w14:textId="77777777" w:rsidR="004139E1" w:rsidRDefault="004139E1">
      <w:pPr>
        <w:spacing w:line="480" w:lineRule="auto"/>
        <w:jc w:val="both"/>
        <w:rPr>
          <w:rFonts w:ascii="Times New Roman" w:hAnsi="Times New Roman" w:cs="Times New Roman"/>
          <w:b/>
          <w:sz w:val="24"/>
          <w:szCs w:val="24"/>
        </w:rPr>
      </w:pPr>
    </w:p>
    <w:p w14:paraId="257C4F3E" w14:textId="77777777" w:rsidR="004139E1" w:rsidRDefault="00C53D0D" w:rsidP="00A95257">
      <w:pPr>
        <w:spacing w:line="240" w:lineRule="auto"/>
        <w:rPr>
          <w:rFonts w:ascii="Times New Roman" w:hAnsi="Times New Roman" w:cs="Times New Roman"/>
          <w:b/>
          <w:sz w:val="24"/>
          <w:szCs w:val="24"/>
        </w:rPr>
      </w:pPr>
      <w:r>
        <w:rPr>
          <w:rFonts w:ascii="Times New Roman" w:hAnsi="Times New Roman" w:cs="Times New Roman"/>
          <w:b/>
          <w:sz w:val="24"/>
          <w:szCs w:val="24"/>
        </w:rPr>
        <w:t>ABSTRACT</w:t>
      </w:r>
    </w:p>
    <w:p w14:paraId="2CF8BC04" w14:textId="77777777" w:rsidR="004139E1" w:rsidRDefault="00C53D0D">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Existing studies on Nigerian English Intonation have described the </w:t>
      </w:r>
      <w:r>
        <w:rPr>
          <w:rFonts w:ascii="Times New Roman" w:hAnsi="Times New Roman" w:cs="Times New Roman"/>
          <w:sz w:val="24"/>
          <w:szCs w:val="24"/>
        </w:rPr>
        <w:t xml:space="preserve">grammatical, attitudinal and accentual features of intonation, while the discourse feature of Nigerian English Intonation has not been duly examined. A good instance of context of </w:t>
      </w:r>
      <w:proofErr w:type="gramStart"/>
      <w:r>
        <w:rPr>
          <w:rFonts w:ascii="Times New Roman" w:hAnsi="Times New Roman" w:cs="Times New Roman"/>
          <w:sz w:val="24"/>
          <w:szCs w:val="24"/>
        </w:rPr>
        <w:t>naturally-occurring</w:t>
      </w:r>
      <w:proofErr w:type="gramEnd"/>
      <w:r>
        <w:rPr>
          <w:rFonts w:ascii="Times New Roman" w:hAnsi="Times New Roman" w:cs="Times New Roman"/>
          <w:sz w:val="24"/>
          <w:szCs w:val="24"/>
        </w:rPr>
        <w:t xml:space="preserve"> speeches where intonation can be better described is the</w:t>
      </w:r>
      <w:r>
        <w:rPr>
          <w:rFonts w:ascii="Times New Roman" w:hAnsi="Times New Roman" w:cs="Times New Roman"/>
          <w:sz w:val="24"/>
          <w:szCs w:val="24"/>
        </w:rPr>
        <w:t xml:space="preserve"> plenary session of the Nigerian National Assembly. This present study explored </w:t>
      </w:r>
      <w:r>
        <w:rPr>
          <w:rFonts w:ascii="Times New Roman" w:eastAsia="Calibri" w:hAnsi="Times New Roman" w:cs="Times New Roman"/>
          <w:sz w:val="24"/>
          <w:szCs w:val="24"/>
        </w:rPr>
        <w:t>the intonation patterns used at Nigerian National Assembly plenaries by identifying the intonation patterns, categorising and describing them, and examining the influence(s) of</w:t>
      </w:r>
      <w:r>
        <w:rPr>
          <w:rFonts w:ascii="Times New Roman" w:eastAsia="Calibri" w:hAnsi="Times New Roman" w:cs="Times New Roman"/>
          <w:sz w:val="24"/>
          <w:szCs w:val="24"/>
        </w:rPr>
        <w:t xml:space="preserve"> the interactional context on the intonation patterns.</w:t>
      </w:r>
    </w:p>
    <w:p w14:paraId="5D51ABA9" w14:textId="77777777" w:rsidR="004139E1" w:rsidRDefault="00C53D0D">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Forty-one non-interrogative tone units </w:t>
      </w:r>
      <w:r>
        <w:rPr>
          <w:rFonts w:ascii="Times New Roman" w:hAnsi="Times New Roman" w:cs="Times New Roman"/>
          <w:sz w:val="24"/>
          <w:szCs w:val="24"/>
        </w:rPr>
        <w:t xml:space="preserve">of selected Nigerian federal legislators in the 8th parliamentary session (2015-2019) were analysed. The selection of these tone units was based on the </w:t>
      </w:r>
      <w:r>
        <w:rPr>
          <w:rFonts w:ascii="Times New Roman" w:hAnsi="Times New Roman" w:cs="Times New Roman"/>
          <w:sz w:val="24"/>
          <w:szCs w:val="24"/>
        </w:rPr>
        <w:t>structural types and how central they were to the message of the excerpts drawn from six different videos of their plenary sessions.  Brazil’s (1997) Discourse Intonation Model formed the theoretical framework for discussing the intonation tunes deployed o</w:t>
      </w:r>
      <w:r>
        <w:rPr>
          <w:rFonts w:ascii="Times New Roman" w:hAnsi="Times New Roman" w:cs="Times New Roman"/>
          <w:sz w:val="24"/>
          <w:szCs w:val="24"/>
        </w:rPr>
        <w:t>n the tone units and spectrograms were generated with PRAAT. W</w:t>
      </w:r>
      <w:r>
        <w:rPr>
          <w:rFonts w:ascii="Times New Roman" w:eastAsia="Times New Roman" w:hAnsi="Times New Roman" w:cs="Times New Roman"/>
          <w:sz w:val="24"/>
          <w:szCs w:val="24"/>
          <w:lang w:eastAsia="ar-SA"/>
        </w:rPr>
        <w:t>hile</w:t>
      </w:r>
      <w:r>
        <w:rPr>
          <w:rFonts w:ascii="Times New Roman" w:eastAsia="Times New Roman" w:hAnsi="Times New Roman" w:cs="Times New Roman"/>
          <w:sz w:val="24"/>
          <w:szCs w:val="24"/>
          <w:lang w:eastAsia="en-GB"/>
        </w:rPr>
        <w:t xml:space="preserve"> sixteen participants demonstrated total conformity to DI, five performed on exact average</w:t>
      </w:r>
      <w:r>
        <w:rPr>
          <w:rFonts w:ascii="Times New Roman" w:eastAsia="Times New Roman" w:hAnsi="Times New Roman" w:cs="Times New Roman"/>
          <w:sz w:val="24"/>
          <w:szCs w:val="24"/>
          <w:lang w:eastAsia="ar-SA"/>
        </w:rPr>
        <w:t xml:space="preserve">. The study also found out that </w:t>
      </w:r>
      <w:r>
        <w:rPr>
          <w:rFonts w:ascii="Times New Roman" w:hAnsi="Times New Roman" w:cs="Times New Roman"/>
          <w:sz w:val="24"/>
          <w:szCs w:val="24"/>
        </w:rPr>
        <w:t>there were noticeable differences in the intonation patterns of male</w:t>
      </w:r>
      <w:r>
        <w:rPr>
          <w:rFonts w:ascii="Times New Roman" w:hAnsi="Times New Roman" w:cs="Times New Roman"/>
          <w:sz w:val="24"/>
          <w:szCs w:val="24"/>
        </w:rPr>
        <w:t xml:space="preserve"> and female Nigerian federal legislators. While the male participants, to some extent, conformed to DI in their use of tunes on both interrogative and non-interrogative tone units, the female participants upheld the grammatical rule-based intonation patter</w:t>
      </w:r>
      <w:r>
        <w:rPr>
          <w:rFonts w:ascii="Times New Roman" w:hAnsi="Times New Roman" w:cs="Times New Roman"/>
          <w:sz w:val="24"/>
          <w:szCs w:val="24"/>
        </w:rPr>
        <w:t>ns.</w:t>
      </w:r>
    </w:p>
    <w:p w14:paraId="213353CE" w14:textId="77777777" w:rsidR="004139E1" w:rsidRDefault="00C53D0D">
      <w:pPr>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hAnsi="Times New Roman" w:cs="Times New Roman"/>
          <w:sz w:val="24"/>
          <w:szCs w:val="24"/>
        </w:rPr>
        <w:t xml:space="preserve">The patterns of Nigerian federal legislators were not consistent with DI; rather they were hugely in line with the formalised intonation rules. They were not conscious of the communicative value of English intonation in </w:t>
      </w:r>
      <w:proofErr w:type="gramStart"/>
      <w:r>
        <w:rPr>
          <w:rFonts w:ascii="Times New Roman" w:hAnsi="Times New Roman" w:cs="Times New Roman"/>
          <w:sz w:val="24"/>
          <w:szCs w:val="24"/>
        </w:rPr>
        <w:t>discourse</w:t>
      </w:r>
      <w:proofErr w:type="gramEnd"/>
      <w:r>
        <w:rPr>
          <w:rFonts w:ascii="Times New Roman" w:hAnsi="Times New Roman" w:cs="Times New Roman"/>
          <w:sz w:val="24"/>
          <w:szCs w:val="24"/>
        </w:rPr>
        <w:t xml:space="preserve"> but they were </w:t>
      </w:r>
      <w:r>
        <w:rPr>
          <w:rFonts w:ascii="Times New Roman" w:hAnsi="Times New Roman" w:cs="Times New Roman"/>
          <w:sz w:val="24"/>
          <w:szCs w:val="24"/>
        </w:rPr>
        <w:t>mainly concerned with structural patterns of these tone units. Thus, it was suggested that DI should be emphasised in schools at different levels to foster proficient use of intonation in context.</w:t>
      </w:r>
    </w:p>
    <w:p w14:paraId="4922BE68" w14:textId="77777777" w:rsidR="004139E1" w:rsidRDefault="004139E1">
      <w:pPr>
        <w:spacing w:line="240" w:lineRule="auto"/>
        <w:jc w:val="both"/>
        <w:rPr>
          <w:rFonts w:ascii="Times New Roman" w:hAnsi="Times New Roman" w:cs="Times New Roman"/>
          <w:b/>
          <w:sz w:val="24"/>
          <w:szCs w:val="24"/>
        </w:rPr>
      </w:pPr>
    </w:p>
    <w:p w14:paraId="54EF7AF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r>
      <w:proofErr w:type="gramStart"/>
      <w:r>
        <w:rPr>
          <w:rFonts w:ascii="Times New Roman" w:hAnsi="Times New Roman" w:cs="Times New Roman"/>
          <w:sz w:val="24"/>
          <w:szCs w:val="24"/>
        </w:rPr>
        <w:t>Naturally-occurring</w:t>
      </w:r>
      <w:proofErr w:type="gramEnd"/>
      <w:r>
        <w:rPr>
          <w:rFonts w:ascii="Times New Roman" w:hAnsi="Times New Roman" w:cs="Times New Roman"/>
          <w:sz w:val="24"/>
          <w:szCs w:val="24"/>
        </w:rPr>
        <w:t xml:space="preserve"> speeches, Nigerian federal l</w:t>
      </w:r>
      <w:r>
        <w:rPr>
          <w:rFonts w:ascii="Times New Roman" w:hAnsi="Times New Roman" w:cs="Times New Roman"/>
          <w:sz w:val="24"/>
          <w:szCs w:val="24"/>
        </w:rPr>
        <w:t>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plenary sessions, Discourse Intonation</w:t>
      </w:r>
    </w:p>
    <w:p w14:paraId="024C3D41" w14:textId="77777777" w:rsidR="004139E1" w:rsidRDefault="004139E1">
      <w:pPr>
        <w:spacing w:line="240" w:lineRule="auto"/>
        <w:jc w:val="both"/>
        <w:rPr>
          <w:rFonts w:ascii="Times New Roman" w:hAnsi="Times New Roman" w:cs="Times New Roman"/>
          <w:sz w:val="24"/>
          <w:szCs w:val="24"/>
        </w:rPr>
      </w:pPr>
    </w:p>
    <w:p w14:paraId="41D6A7F3" w14:textId="77777777" w:rsidR="004139E1" w:rsidRDefault="00C53D0D">
      <w:pPr>
        <w:pStyle w:val="ListParagraph"/>
        <w:numPr>
          <w:ilvl w:val="0"/>
          <w:numId w:val="1"/>
        </w:num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Introduction</w:t>
      </w:r>
    </w:p>
    <w:p w14:paraId="62F5FE1A" w14:textId="77777777" w:rsidR="004139E1" w:rsidRDefault="00C53D0D">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Intonation is dynamic in nature and cannot always be regulated by grammatical rules, especially in the context of </w:t>
      </w:r>
      <w:proofErr w:type="gramStart"/>
      <w:r>
        <w:rPr>
          <w:rFonts w:ascii="Times New Roman" w:eastAsia="Calibri" w:hAnsi="Times New Roman" w:cs="Times New Roman"/>
          <w:sz w:val="24"/>
          <w:szCs w:val="24"/>
        </w:rPr>
        <w:t>naturally-occurring</w:t>
      </w:r>
      <w:proofErr w:type="gramEnd"/>
      <w:r>
        <w:rPr>
          <w:rFonts w:ascii="Times New Roman" w:eastAsia="Calibri" w:hAnsi="Times New Roman" w:cs="Times New Roman"/>
          <w:sz w:val="24"/>
          <w:szCs w:val="24"/>
        </w:rPr>
        <w:t xml:space="preserve"> or spontaneous speeches. McNeill et a</w:t>
      </w:r>
      <w:r>
        <w:rPr>
          <w:rFonts w:ascii="Times New Roman" w:eastAsia="Calibri" w:hAnsi="Times New Roman" w:cs="Times New Roman"/>
          <w:sz w:val="24"/>
          <w:szCs w:val="24"/>
        </w:rPr>
        <w:t xml:space="preserve">l. (2001) opine that “the organisation of discourse is inseparable from gesture and prosody” and that “[they are] different sides of a single mental communicative process”. </w:t>
      </w:r>
      <w:r>
        <w:rPr>
          <w:rFonts w:ascii="Times New Roman" w:hAnsi="Times New Roman" w:cs="Times New Roman"/>
          <w:sz w:val="24"/>
          <w:szCs w:val="24"/>
        </w:rPr>
        <w:t xml:space="preserve">Nigerian English, on the other hand, is a “variety of English which has often been </w:t>
      </w:r>
      <w:r>
        <w:rPr>
          <w:rFonts w:ascii="Times New Roman" w:hAnsi="Times New Roman" w:cs="Times New Roman"/>
          <w:sz w:val="24"/>
          <w:szCs w:val="24"/>
        </w:rPr>
        <w:t>suggested to differ from other varieties of English, especially in the area of prosody” (Gut, 2005</w:t>
      </w:r>
      <w:r>
        <w:rPr>
          <w:rFonts w:ascii="Times New Roman" w:hAnsi="Times New Roman" w:cs="Times New Roman"/>
          <w:sz w:val="24"/>
          <w:szCs w:val="24"/>
          <w:lang w:val="en-US"/>
        </w:rPr>
        <w:t xml:space="preserve">: </w:t>
      </w:r>
      <w:r>
        <w:rPr>
          <w:rFonts w:ascii="Times New Roman" w:hAnsi="Times New Roman" w:cs="Times New Roman"/>
          <w:sz w:val="24"/>
          <w:szCs w:val="24"/>
        </w:rPr>
        <w:t>154). Scholars have explored the prosodic features: stress, intonation and rhythm of Nigerian English.  While many existing studies on English intonation pa</w:t>
      </w:r>
      <w:r>
        <w:rPr>
          <w:rFonts w:ascii="Times New Roman" w:hAnsi="Times New Roman" w:cs="Times New Roman"/>
          <w:sz w:val="24"/>
          <w:szCs w:val="24"/>
        </w:rPr>
        <w:t xml:space="preserve">tterns of Nigerian speakers have concentrated on rule-governed patterns, </w:t>
      </w:r>
      <w:r>
        <w:rPr>
          <w:rFonts w:ascii="Times New Roman" w:hAnsi="Times New Roman" w:cs="Times New Roman"/>
          <w:sz w:val="24"/>
          <w:szCs w:val="24"/>
        </w:rPr>
        <w:lastRenderedPageBreak/>
        <w:t>very few researchers seem to have explored the intonational choices of Nigerian speakers in spontaneous utterances.</w:t>
      </w:r>
    </w:p>
    <w:p w14:paraId="122220B6" w14:textId="77777777" w:rsidR="004139E1" w:rsidRDefault="00C53D0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(1991) avers that in an L2 situation, intonation patterns ca</w:t>
      </w:r>
      <w:r>
        <w:rPr>
          <w:rFonts w:ascii="Times New Roman" w:hAnsi="Times New Roman" w:cs="Times New Roman"/>
          <w:sz w:val="24"/>
          <w:szCs w:val="24"/>
        </w:rPr>
        <w:t>nnot be acquired as used by native speakers. They are consciously learnt and since their complexity — like stress — timing tends to repel all but motivated learners, they go for the most unlearned part to account for the meaning which they could not achiev</w:t>
      </w:r>
      <w:r>
        <w:rPr>
          <w:rFonts w:ascii="Times New Roman" w:hAnsi="Times New Roman" w:cs="Times New Roman"/>
          <w:sz w:val="24"/>
          <w:szCs w:val="24"/>
        </w:rPr>
        <w:t xml:space="preserve">e with the tunes. Further, </w:t>
      </w: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(1997) observes that pauses between intonation groups are shorter in Nigerian English than in British English. She notes that there is a preference for ‘end-stress’ in intonation phrases. Lending credence to the observatio</w:t>
      </w:r>
      <w:r>
        <w:rPr>
          <w:rFonts w:ascii="Times New Roman" w:hAnsi="Times New Roman" w:cs="Times New Roman"/>
          <w:sz w:val="24"/>
          <w:szCs w:val="24"/>
        </w:rPr>
        <w:t xml:space="preserve">ns of </w:t>
      </w:r>
      <w:proofErr w:type="spellStart"/>
      <w:r>
        <w:rPr>
          <w:rFonts w:ascii="Times New Roman" w:hAnsi="Times New Roman" w:cs="Times New Roman"/>
          <w:sz w:val="24"/>
          <w:szCs w:val="24"/>
        </w:rPr>
        <w:t>Ufomata</w:t>
      </w:r>
      <w:proofErr w:type="spellEnd"/>
      <w:r>
        <w:rPr>
          <w:rFonts w:ascii="Times New Roman" w:hAnsi="Times New Roman" w:cs="Times New Roman"/>
          <w:sz w:val="24"/>
          <w:szCs w:val="24"/>
        </w:rPr>
        <w:t xml:space="preserve"> (1997), </w:t>
      </w:r>
      <w:proofErr w:type="spellStart"/>
      <w:r>
        <w:rPr>
          <w:rFonts w:ascii="Times New Roman" w:hAnsi="Times New Roman" w:cs="Times New Roman"/>
          <w:sz w:val="24"/>
          <w:szCs w:val="24"/>
        </w:rPr>
        <w:t>Adetugbo</w:t>
      </w:r>
      <w:proofErr w:type="spellEnd"/>
      <w:r>
        <w:rPr>
          <w:rFonts w:ascii="Times New Roman" w:hAnsi="Times New Roman" w:cs="Times New Roman"/>
          <w:sz w:val="24"/>
          <w:szCs w:val="24"/>
        </w:rPr>
        <w:t xml:space="preserve"> (1977) and Eka (1985) view that the most problematic area of Nigerian English phonology is rhythm and having studied the systematic differences in the intonational patterns between Nigerian English and British English,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(2000) enumerates the characteristics of Nigerian English intonation system: </w:t>
      </w:r>
    </w:p>
    <w:p w14:paraId="424DA3D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14:paraId="3793FC2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14:paraId="433E083D"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w:t>
      </w:r>
      <w:r>
        <w:rPr>
          <w:rFonts w:ascii="Times New Roman" w:hAnsi="Times New Roman" w:cs="Times New Roman"/>
          <w:sz w:val="24"/>
          <w:szCs w:val="24"/>
        </w:rPr>
        <w:t>re the rise-fall is used for strong emphasis,</w:t>
      </w:r>
    </w:p>
    <w:p w14:paraId="3DCEE759"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14:paraId="458E1D58"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14:paraId="780894E7"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w:t>
      </w:r>
      <w:r>
        <w:rPr>
          <w:rFonts w:ascii="Times New Roman" w:hAnsi="Times New Roman" w:cs="Times New Roman"/>
          <w:sz w:val="24"/>
          <w:szCs w:val="24"/>
        </w:rPr>
        <w:t>ft before the commencement of the nucleus.</w:t>
      </w:r>
    </w:p>
    <w:p w14:paraId="7C455D3F"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14:paraId="0C17397E" w14:textId="77777777" w:rsidR="004139E1" w:rsidRDefault="004139E1">
      <w:pPr>
        <w:pStyle w:val="NoSpacing"/>
        <w:ind w:left="1080"/>
        <w:rPr>
          <w:rFonts w:ascii="Times New Roman" w:hAnsi="Times New Roman" w:cs="Times New Roman"/>
          <w:sz w:val="24"/>
          <w:szCs w:val="24"/>
        </w:rPr>
      </w:pPr>
    </w:p>
    <w:p w14:paraId="7205572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Education is a fluid variable that can be affected by other variables.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w:t>
      </w:r>
      <w:r>
        <w:rPr>
          <w:rFonts w:ascii="Times New Roman" w:hAnsi="Times New Roman" w:cs="Times New Roman"/>
          <w:sz w:val="24"/>
          <w:szCs w:val="24"/>
          <w:lang w:val="en-US"/>
        </w:rPr>
        <w:t xml:space="preserve">: </w:t>
      </w:r>
      <w:r>
        <w:rPr>
          <w:rFonts w:ascii="Times New Roman" w:hAnsi="Times New Roman" w:cs="Times New Roman"/>
          <w:sz w:val="24"/>
          <w:szCs w:val="24"/>
        </w:rPr>
        <w:t>33) commented that his data cannot be extended to all Nigerian users of English as there are Educated Nigerians who are more proficient in the use of English intonation than his participants. In addition to this, the context could have also affected the re</w:t>
      </w:r>
      <w:r>
        <w:rPr>
          <w:rFonts w:ascii="Times New Roman" w:hAnsi="Times New Roman" w:cs="Times New Roman"/>
          <w:sz w:val="24"/>
          <w:szCs w:val="24"/>
        </w:rPr>
        <w:t xml:space="preserve">ndition of the participants; while some might be trying to impress the researcher, some might be afraid. </w:t>
      </w:r>
    </w:p>
    <w:p w14:paraId="51ECB4A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study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(2003) revealed that </w:t>
      </w:r>
      <w:proofErr w:type="gramStart"/>
      <w:r>
        <w:rPr>
          <w:rFonts w:ascii="Times New Roman" w:hAnsi="Times New Roman" w:cs="Times New Roman"/>
          <w:sz w:val="24"/>
          <w:szCs w:val="24"/>
        </w:rPr>
        <w:t>the majority of</w:t>
      </w:r>
      <w:proofErr w:type="gramEnd"/>
      <w:r>
        <w:rPr>
          <w:rFonts w:ascii="Times New Roman" w:hAnsi="Times New Roman" w:cs="Times New Roman"/>
          <w:sz w:val="24"/>
          <w:szCs w:val="24"/>
        </w:rPr>
        <w:t xml:space="preserve"> Nigerian radio broadcasters in South-western in Nigeria were unable to interpr</w:t>
      </w:r>
      <w:r>
        <w:rPr>
          <w:rFonts w:ascii="Times New Roman" w:hAnsi="Times New Roman" w:cs="Times New Roman"/>
          <w:sz w:val="24"/>
          <w:szCs w:val="24"/>
        </w:rPr>
        <w:t xml:space="preserve">et intonation tunes played back to them. Also, they do not usually deploy these tunes while casting news. Buttressing the opinion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(2003),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(2005) opines that the level of perception of intonation was higher than the level of interpretation</w:t>
      </w:r>
      <w:r>
        <w:rPr>
          <w:rFonts w:ascii="Times New Roman" w:hAnsi="Times New Roman" w:cs="Times New Roman"/>
          <w:sz w:val="24"/>
          <w:szCs w:val="24"/>
        </w:rPr>
        <w:t xml:space="preserve"> of meaning in his study investigating the perception and interpretation of a subclass of sentence intonation by some Nigerian users of English. There is however a need to mention that the data read by the broadcasters were prepared by the researcher and t</w:t>
      </w:r>
      <w:r>
        <w:rPr>
          <w:rFonts w:ascii="Times New Roman" w:hAnsi="Times New Roman" w:cs="Times New Roman"/>
          <w:sz w:val="24"/>
          <w:szCs w:val="24"/>
        </w:rPr>
        <w:t>his “could not be devoid of affectations”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or “observer’s paradox” (</w:t>
      </w: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1972).</w:t>
      </w:r>
    </w:p>
    <w:p w14:paraId="00DC3E79" w14:textId="77777777" w:rsidR="004139E1" w:rsidRDefault="00C53D0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Fajobi</w:t>
      </w:r>
      <w:proofErr w:type="spellEnd"/>
      <w:r>
        <w:rPr>
          <w:rFonts w:ascii="Times New Roman" w:hAnsi="Times New Roman" w:cs="Times New Roman"/>
          <w:sz w:val="24"/>
          <w:szCs w:val="24"/>
        </w:rPr>
        <w:t xml:space="preserve"> (2013) carried out an acoustic investigation of intonation in Nigerian English, concentrating on the extent to which Yoruba influences speakers’ spoken </w:t>
      </w:r>
      <w:r>
        <w:rPr>
          <w:rFonts w:ascii="Times New Roman" w:hAnsi="Times New Roman" w:cs="Times New Roman"/>
          <w:sz w:val="24"/>
          <w:szCs w:val="24"/>
        </w:rPr>
        <w:t xml:space="preserve">English. Her study examined on Yoruba-influenced-Nigerian-English intonation of eight Yoruba native speakers, four had lived in London for 25years and the other four resided in Nigeria. She generated pitch contours from PRAAT </w:t>
      </w:r>
      <w:proofErr w:type="gramStart"/>
      <w:r>
        <w:rPr>
          <w:rFonts w:ascii="Times New Roman" w:hAnsi="Times New Roman" w:cs="Times New Roman"/>
          <w:sz w:val="24"/>
          <w:szCs w:val="24"/>
        </w:rPr>
        <w:t>software</w:t>
      </w:r>
      <w:proofErr w:type="gramEnd"/>
      <w:r>
        <w:rPr>
          <w:rFonts w:ascii="Times New Roman" w:hAnsi="Times New Roman" w:cs="Times New Roman"/>
          <w:sz w:val="24"/>
          <w:szCs w:val="24"/>
        </w:rPr>
        <w:t xml:space="preserve"> and her analyses were</w:t>
      </w:r>
      <w:r>
        <w:rPr>
          <w:rFonts w:ascii="Times New Roman" w:hAnsi="Times New Roman" w:cs="Times New Roman"/>
          <w:sz w:val="24"/>
          <w:szCs w:val="24"/>
        </w:rPr>
        <w:t xml:space="preserve"> buttressed statistically using SPSS. The study thus found out that “to a very large extent and irrespective of where Nigerians speakers are located, Yoruba Nigerian English intonation relates more to Yoruba than to the native English intonation system” (</w:t>
      </w:r>
      <w:proofErr w:type="spellStart"/>
      <w:r>
        <w:rPr>
          <w:rFonts w:ascii="Times New Roman" w:hAnsi="Times New Roman" w:cs="Times New Roman"/>
          <w:sz w:val="24"/>
          <w:szCs w:val="24"/>
        </w:rPr>
        <w:t>F</w:t>
      </w:r>
      <w:r>
        <w:rPr>
          <w:rFonts w:ascii="Times New Roman" w:hAnsi="Times New Roman" w:cs="Times New Roman"/>
          <w:sz w:val="24"/>
          <w:szCs w:val="24"/>
        </w:rPr>
        <w:t>ajobi</w:t>
      </w:r>
      <w:proofErr w:type="spellEnd"/>
      <w:r>
        <w:rPr>
          <w:rFonts w:ascii="Times New Roman" w:hAnsi="Times New Roman" w:cs="Times New Roman"/>
          <w:sz w:val="24"/>
          <w:szCs w:val="24"/>
        </w:rPr>
        <w:t>, 2013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w:t>
      </w:r>
      <w:r>
        <w:rPr>
          <w:rFonts w:ascii="Times New Roman" w:hAnsi="Times New Roman" w:cs="Times New Roman"/>
          <w:sz w:val="24"/>
          <w:szCs w:val="24"/>
        </w:rPr>
        <w:lastRenderedPageBreak/>
        <w:t xml:space="preserve">intonation, it concentrated on the Yoruba Nigerian English. Also, there is a gap of discourse intonation. </w:t>
      </w:r>
    </w:p>
    <w:p w14:paraId="1C555178" w14:textId="77777777" w:rsidR="004139E1" w:rsidRDefault="00C53D0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(2016) examined context and Discourse Intonation in English medium </w:t>
      </w:r>
      <w:r>
        <w:rPr>
          <w:rFonts w:ascii="Times New Roman" w:hAnsi="Times New Roman" w:cs="Times New Roman"/>
          <w:sz w:val="24"/>
          <w:szCs w:val="24"/>
        </w:rPr>
        <w:t xml:space="preserve">product advertisements on radio and television in Nigeria. Using Discourse Intonation as his framework, he explored how Nigerians use intonation in radio and television advertisements. Jingles used in electronic media advertisements are sometimes scripted </w:t>
      </w:r>
      <w:r>
        <w:rPr>
          <w:rFonts w:ascii="Times New Roman" w:hAnsi="Times New Roman" w:cs="Times New Roman"/>
          <w:sz w:val="24"/>
          <w:szCs w:val="24"/>
        </w:rPr>
        <w:t xml:space="preserve">and usually recorded and edited after a series of rehearsals. This defines the utterances considered in his study as different from </w:t>
      </w:r>
      <w:proofErr w:type="gramStart"/>
      <w:r>
        <w:rPr>
          <w:rFonts w:ascii="Times New Roman" w:hAnsi="Times New Roman" w:cs="Times New Roman"/>
          <w:sz w:val="24"/>
          <w:szCs w:val="24"/>
        </w:rPr>
        <w:t>naturally-occurring</w:t>
      </w:r>
      <w:proofErr w:type="gramEnd"/>
      <w:r>
        <w:rPr>
          <w:rFonts w:ascii="Times New Roman" w:hAnsi="Times New Roman" w:cs="Times New Roman"/>
          <w:sz w:val="24"/>
          <w:szCs w:val="24"/>
        </w:rPr>
        <w:t xml:space="preserve"> utterances.</w:t>
      </w:r>
    </w:p>
    <w:p w14:paraId="10233433" w14:textId="31ABD80F"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a study on Natural Speech and Intonation Rule Patterns, with 200 tone units of selected E</w:t>
      </w:r>
      <w:r>
        <w:rPr>
          <w:rFonts w:ascii="Times New Roman" w:hAnsi="Times New Roman" w:cs="Times New Roman"/>
          <w:sz w:val="24"/>
          <w:szCs w:val="24"/>
        </w:rPr>
        <w:t xml:space="preserve">ducated Nigerian speakers of English, </w:t>
      </w:r>
      <w:proofErr w:type="spellStart"/>
      <w:r>
        <w:rPr>
          <w:rFonts w:ascii="Times New Roman" w:hAnsi="Times New Roman" w:cs="Times New Roman"/>
          <w:sz w:val="24"/>
          <w:szCs w:val="24"/>
        </w:rPr>
        <w:t>Adeju</w:t>
      </w:r>
      <w:r>
        <w:rPr>
          <w:rFonts w:ascii="Times New Roman" w:hAnsi="Times New Roman" w:cs="Times New Roman"/>
          <w:sz w:val="24"/>
          <w:szCs w:val="24"/>
        </w:rPr>
        <w:t>won</w:t>
      </w:r>
      <w:proofErr w:type="spellEnd"/>
      <w:r>
        <w:rPr>
          <w:rFonts w:ascii="Times New Roman" w:hAnsi="Times New Roman" w:cs="Times New Roman"/>
          <w:sz w:val="24"/>
          <w:szCs w:val="24"/>
        </w:rPr>
        <w:t xml:space="preserve"> (2016) concludes that there is a remarkable gap between the natural speech intonation patterns of educated Nigerian Speakers of English and formalised intonation rules. Using the Discourse intonation proposed </w:t>
      </w:r>
      <w:r>
        <w:rPr>
          <w:rFonts w:ascii="Times New Roman" w:hAnsi="Times New Roman" w:cs="Times New Roman"/>
          <w:sz w:val="24"/>
          <w:szCs w:val="24"/>
        </w:rPr>
        <w:t xml:space="preserve">by (Brazil 1997), two different groups of Educated Nigerians were studied. While the data of group A were electronic data recorded during television and radio interviews, the data of group B, the focus group, were </w:t>
      </w:r>
      <w:proofErr w:type="gramStart"/>
      <w:r>
        <w:rPr>
          <w:rFonts w:ascii="Times New Roman" w:hAnsi="Times New Roman" w:cs="Times New Roman"/>
          <w:sz w:val="24"/>
          <w:szCs w:val="24"/>
        </w:rPr>
        <w:t>discussion-generated</w:t>
      </w:r>
      <w:proofErr w:type="gramEnd"/>
      <w:r>
        <w:rPr>
          <w:rFonts w:ascii="Times New Roman" w:hAnsi="Times New Roman" w:cs="Times New Roman"/>
          <w:sz w:val="24"/>
          <w:szCs w:val="24"/>
        </w:rPr>
        <w:t>. According to him, DI</w:t>
      </w:r>
      <w:r>
        <w:rPr>
          <w:rFonts w:ascii="Times New Roman" w:hAnsi="Times New Roman" w:cs="Times New Roman"/>
          <w:sz w:val="24"/>
          <w:szCs w:val="24"/>
        </w:rPr>
        <w:t xml:space="preserve"> is yet a strange model in the English intonation of Nigerian Educated speakers of English; thus, he concludes that educated Nigerian speakers of English, generally, lack the knowledge on the use of the discourse intonation model, and there is a disparity </w:t>
      </w:r>
      <w:r>
        <w:rPr>
          <w:rFonts w:ascii="Times New Roman" w:hAnsi="Times New Roman" w:cs="Times New Roman"/>
          <w:sz w:val="24"/>
          <w:szCs w:val="24"/>
        </w:rPr>
        <w:t xml:space="preserve">between their intonation patterns in natural speeches and the formalised intonation rules. His findings, therefore, corroborate some of the positions of </w:t>
      </w: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(1997); Gut (2004), and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(2000). Although this study covers people from all walks of life,</w:t>
      </w:r>
      <w:r>
        <w:rPr>
          <w:rFonts w:ascii="Times New Roman" w:hAnsi="Times New Roman" w:cs="Times New Roman"/>
          <w:sz w:val="24"/>
          <w:szCs w:val="24"/>
        </w:rPr>
        <w:t xml:space="preserve"> it does not include legislators and how intonation is used in the process of law-making.</w:t>
      </w:r>
    </w:p>
    <w:p w14:paraId="3196521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Again, few scholars seem to have deployed the DI in the study of the English intonation patterns of Educated Nigerians. Thus, the study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and </w:t>
      </w: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(2016) can be regarded as pioneering elaborate works on the discourse intonation patterns of educated Nigerian speakers of English. However, one gap that is yet to be adequately addressed is the contextual influence(s) on intonation (especially in the pro</w:t>
      </w:r>
      <w:r>
        <w:rPr>
          <w:rFonts w:ascii="Times New Roman" w:hAnsi="Times New Roman" w:cs="Times New Roman"/>
          <w:sz w:val="24"/>
          <w:szCs w:val="24"/>
        </w:rPr>
        <w:t>cess of law-making), which DI can duly explore. By investigating how Nigerian federal legislators make choices from the intonation patterns, this study hopes to avoid observer’s paradox (</w:t>
      </w: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1972), affectations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2016), and generate reliable da</w:t>
      </w:r>
      <w:r>
        <w:rPr>
          <w:rFonts w:ascii="Times New Roman" w:hAnsi="Times New Roman" w:cs="Times New Roman"/>
          <w:sz w:val="24"/>
          <w:szCs w:val="24"/>
        </w:rPr>
        <w:t>ta to make plausible suggestions and contributions to the positions of scholars on Nigerian English intonation.</w:t>
      </w:r>
    </w:p>
    <w:p w14:paraId="6ED74DF2" w14:textId="77777777" w:rsidR="004139E1" w:rsidRDefault="004139E1">
      <w:pPr>
        <w:autoSpaceDE w:val="0"/>
        <w:autoSpaceDN w:val="0"/>
        <w:adjustRightInd w:val="0"/>
        <w:spacing w:after="0" w:line="240" w:lineRule="auto"/>
        <w:jc w:val="both"/>
        <w:rPr>
          <w:rFonts w:ascii="Times New Roman" w:eastAsia="Calibri" w:hAnsi="Times New Roman" w:cs="Times New Roman"/>
          <w:sz w:val="24"/>
          <w:szCs w:val="24"/>
        </w:rPr>
      </w:pPr>
    </w:p>
    <w:p w14:paraId="54D63775" w14:textId="77777777" w:rsidR="004139E1" w:rsidRDefault="00C53D0D">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2. Brazil’s Discourse Intonation</w:t>
      </w:r>
    </w:p>
    <w:p w14:paraId="391A735F" w14:textId="288C8D2B" w:rsidR="004139E1" w:rsidRDefault="00C53D0D">
      <w:pPr>
        <w:spacing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w:t>
      </w:r>
      <w:proofErr w:type="gramStart"/>
      <w:r>
        <w:rPr>
          <w:rFonts w:ascii="Times New Roman" w:eastAsia="Times New Roman" w:hAnsi="Times New Roman" w:cs="Times New Roman"/>
          <w:sz w:val="24"/>
          <w:szCs w:val="24"/>
          <w:lang w:eastAsia="en-GB"/>
        </w:rPr>
        <w:t>naturally-occurring</w:t>
      </w:r>
      <w:proofErr w:type="gramEnd"/>
      <w:r>
        <w:rPr>
          <w:rFonts w:ascii="Times New Roman" w:eastAsia="Times New Roman" w:hAnsi="Times New Roman" w:cs="Times New Roman"/>
          <w:sz w:val="24"/>
          <w:szCs w:val="24"/>
          <w:lang w:eastAsia="en-GB"/>
        </w:rPr>
        <w:t xml:space="preserve"> inte</w:t>
      </w:r>
      <w:r>
        <w:rPr>
          <w:rFonts w:ascii="Times New Roman" w:eastAsia="Times New Roman" w:hAnsi="Times New Roman" w:cs="Times New Roman"/>
          <w:sz w:val="24"/>
          <w:szCs w:val="24"/>
          <w:lang w:eastAsia="en-GB"/>
        </w:rPr>
        <w:t xml:space="preserve">ractions. </w:t>
      </w:r>
      <w:r>
        <w:rPr>
          <w:rFonts w:ascii="Times New Roman" w:eastAsia="Calibri" w:hAnsi="Times New Roman" w:cs="Times New Roman"/>
          <w:sz w:val="24"/>
          <w:szCs w:val="24"/>
        </w:rPr>
        <w:t>The importance and relevance of DI have been acknowledged by many scholars. First, it provides the most satisfactory explanation for the intonation choices speakers make. The model is attractive because it is simple and has a powerful explanatory</w:t>
      </w:r>
      <w:r>
        <w:rPr>
          <w:rFonts w:ascii="Times New Roman" w:eastAsia="Calibri" w:hAnsi="Times New Roman" w:cs="Times New Roman"/>
          <w:sz w:val="24"/>
          <w:szCs w:val="24"/>
        </w:rPr>
        <w:t xml:space="preserve"> force; not only can it account for </w:t>
      </w:r>
      <w:proofErr w:type="gramStart"/>
      <w:r>
        <w:rPr>
          <w:rFonts w:ascii="Times New Roman" w:eastAsia="Calibri" w:hAnsi="Times New Roman" w:cs="Times New Roman"/>
          <w:sz w:val="24"/>
          <w:szCs w:val="24"/>
        </w:rPr>
        <w:t>frequently-occurring</w:t>
      </w:r>
      <w:proofErr w:type="gramEnd"/>
      <w:r>
        <w:rPr>
          <w:rFonts w:ascii="Times New Roman" w:eastAsia="Calibri" w:hAnsi="Times New Roman" w:cs="Times New Roman"/>
          <w:sz w:val="24"/>
          <w:szCs w:val="24"/>
        </w:rPr>
        <w:t xml:space="preserve"> patterns in conversation; it equally provides the exceptions to those patterns (</w:t>
      </w:r>
      <w:proofErr w:type="spellStart"/>
      <w:r>
        <w:rPr>
          <w:rFonts w:ascii="Times New Roman" w:eastAsia="Calibri" w:hAnsi="Times New Roman" w:cs="Times New Roman"/>
          <w:sz w:val="24"/>
          <w:szCs w:val="24"/>
        </w:rPr>
        <w:t>Ranalli</w:t>
      </w:r>
      <w:proofErr w:type="spellEnd"/>
      <w:r>
        <w:rPr>
          <w:rFonts w:ascii="Times New Roman" w:eastAsia="Calibri" w:hAnsi="Times New Roman" w:cs="Times New Roman"/>
          <w:sz w:val="24"/>
          <w:szCs w:val="24"/>
        </w:rPr>
        <w:t xml:space="preserve">, 2002). </w:t>
      </w:r>
      <w:proofErr w:type="spellStart"/>
      <w:r>
        <w:rPr>
          <w:rFonts w:ascii="Times New Roman" w:eastAsia="Calibri" w:hAnsi="Times New Roman" w:cs="Times New Roman"/>
          <w:sz w:val="24"/>
          <w:szCs w:val="24"/>
        </w:rPr>
        <w:t>Adejuwon</w:t>
      </w:r>
      <w:proofErr w:type="spellEnd"/>
      <w:r>
        <w:rPr>
          <w:rFonts w:ascii="Times New Roman" w:eastAsia="Calibri" w:hAnsi="Times New Roman" w:cs="Times New Roman"/>
          <w:sz w:val="24"/>
          <w:szCs w:val="24"/>
        </w:rPr>
        <w:t xml:space="preserve"> (2016) says DI is concerned with the speakers’ moment-by-moment context-referenced choices. Th</w:t>
      </w:r>
      <w:r>
        <w:rPr>
          <w:rFonts w:ascii="Times New Roman" w:eastAsia="Calibri" w:hAnsi="Times New Roman" w:cs="Times New Roman"/>
          <w:sz w:val="24"/>
          <w:szCs w:val="24"/>
        </w:rPr>
        <w:t xml:space="preserve">us, given the currency of this theory, its wide acceptance and profound relevance to </w:t>
      </w:r>
      <w:proofErr w:type="gramStart"/>
      <w:r>
        <w:rPr>
          <w:rFonts w:ascii="Times New Roman" w:eastAsia="Calibri" w:hAnsi="Times New Roman" w:cs="Times New Roman"/>
          <w:sz w:val="24"/>
          <w:szCs w:val="24"/>
        </w:rPr>
        <w:t>naturally-occurring</w:t>
      </w:r>
      <w:proofErr w:type="gramEnd"/>
      <w:r>
        <w:rPr>
          <w:rFonts w:ascii="Times New Roman" w:eastAsia="Calibri" w:hAnsi="Times New Roman" w:cs="Times New Roman"/>
          <w:sz w:val="24"/>
          <w:szCs w:val="24"/>
        </w:rPr>
        <w:t xml:space="preserve"> speech, the present adopts it.</w:t>
      </w:r>
    </w:p>
    <w:p w14:paraId="33107CAB" w14:textId="77777777" w:rsidR="00A95257" w:rsidRDefault="00A95257">
      <w:pPr>
        <w:spacing w:line="240" w:lineRule="auto"/>
        <w:jc w:val="both"/>
        <w:rPr>
          <w:rFonts w:ascii="Times New Roman" w:eastAsia="Calibri" w:hAnsi="Times New Roman" w:cs="Times New Roman"/>
          <w:sz w:val="24"/>
          <w:szCs w:val="24"/>
        </w:rPr>
      </w:pPr>
    </w:p>
    <w:p w14:paraId="46C8E49E" w14:textId="77777777" w:rsidR="004139E1" w:rsidRDefault="00C53D0D">
      <w:pPr>
        <w:spacing w:line="240" w:lineRule="auto"/>
        <w:jc w:val="both"/>
        <w:rPr>
          <w:rFonts w:ascii="Times New Roman" w:eastAsia="Times New Roman" w:hAnsi="Times New Roman" w:cs="Times New Roman"/>
          <w:sz w:val="24"/>
          <w:szCs w:val="24"/>
          <w:lang w:eastAsia="en-GB"/>
        </w:rPr>
      </w:pPr>
      <w:r>
        <w:rPr>
          <w:rFonts w:ascii="Times New Roman" w:eastAsia="Calibri" w:hAnsi="Times New Roman" w:cs="Times New Roman"/>
          <w:b/>
          <w:sz w:val="24"/>
          <w:szCs w:val="24"/>
        </w:rPr>
        <w:lastRenderedPageBreak/>
        <w:t>2.1 DI Systems of Speaker Choice</w:t>
      </w:r>
    </w:p>
    <w:p w14:paraId="23F76AD3" w14:textId="77777777" w:rsidR="004139E1" w:rsidRDefault="00C53D0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With emphasises on </w:t>
      </w:r>
      <w:proofErr w:type="gramStart"/>
      <w:r>
        <w:rPr>
          <w:rFonts w:ascii="Times New Roman" w:eastAsia="Calibri" w:hAnsi="Times New Roman" w:cs="Times New Roman"/>
          <w:sz w:val="24"/>
          <w:szCs w:val="24"/>
        </w:rPr>
        <w:t>naturally-occurring</w:t>
      </w:r>
      <w:proofErr w:type="gramEnd"/>
      <w:r>
        <w:rPr>
          <w:rFonts w:ascii="Times New Roman" w:eastAsia="Calibri" w:hAnsi="Times New Roman" w:cs="Times New Roman"/>
          <w:sz w:val="24"/>
          <w:szCs w:val="24"/>
        </w:rPr>
        <w:t xml:space="preserve"> context-referenced tone patterns, DI has four sy</w:t>
      </w:r>
      <w:r>
        <w:rPr>
          <w:rFonts w:ascii="Times New Roman" w:eastAsia="Calibri" w:hAnsi="Times New Roman" w:cs="Times New Roman"/>
          <w:sz w:val="24"/>
          <w:szCs w:val="24"/>
        </w:rPr>
        <w:t>stems of speaker choice: prominence, tone, key and termination. The relationship between the four systems is that prominence fixes the domain of the three variables of tone and key or termination, all of which contribute to the communicative value of the t</w:t>
      </w:r>
      <w:r>
        <w:rPr>
          <w:rFonts w:ascii="Times New Roman" w:eastAsia="Calibri" w:hAnsi="Times New Roman" w:cs="Times New Roman"/>
          <w:sz w:val="24"/>
          <w:szCs w:val="24"/>
        </w:rPr>
        <w:t>one unit (Brazil 1997). They foster intonation to represent the existential context that projects the role-relationship and the state of convergence between the speaker and the listener.</w:t>
      </w:r>
    </w:p>
    <w:p w14:paraId="65C9E9EE" w14:textId="77777777" w:rsidR="004139E1" w:rsidRDefault="004139E1">
      <w:pPr>
        <w:autoSpaceDE w:val="0"/>
        <w:autoSpaceDN w:val="0"/>
        <w:adjustRightInd w:val="0"/>
        <w:spacing w:after="0" w:line="240" w:lineRule="auto"/>
        <w:jc w:val="both"/>
        <w:rPr>
          <w:rFonts w:ascii="Times New Roman" w:eastAsia="Calibri" w:hAnsi="Times New Roman" w:cs="Times New Roman"/>
          <w:b/>
          <w:sz w:val="24"/>
          <w:szCs w:val="24"/>
        </w:rPr>
      </w:pPr>
    </w:p>
    <w:p w14:paraId="0E204208" w14:textId="77777777" w:rsidR="004139E1" w:rsidRDefault="00C53D0D">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p w14:paraId="0691D5F9" w14:textId="77777777" w:rsidR="004139E1" w:rsidRDefault="00C53D0D">
      <w:pPr>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b/>
          <w:sz w:val="24"/>
          <w:szCs w:val="24"/>
          <w:lang w:eastAsia="ar-SA"/>
        </w:rPr>
        <w:tab/>
        <w:t>Methodology</w:t>
      </w:r>
    </w:p>
    <w:p w14:paraId="23CA5340" w14:textId="77777777" w:rsidR="004139E1" w:rsidRDefault="00C53D0D">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In respect to the aim and objectives of this </w:t>
      </w:r>
      <w:r>
        <w:rPr>
          <w:rFonts w:ascii="Times New Roman" w:hAnsi="Times New Roman" w:cs="Times New Roman"/>
          <w:sz w:val="24"/>
          <w:szCs w:val="24"/>
        </w:rPr>
        <w:t>study, the data, the intonation tunes used by the study participants were identified and the frequency of occurrence was determined. Forty-one</w:t>
      </w:r>
      <w:r>
        <w:rPr>
          <w:rFonts w:ascii="Times New Roman" w:eastAsia="Times New Roman" w:hAnsi="Times New Roman" w:cs="Times New Roman"/>
          <w:sz w:val="24"/>
          <w:szCs w:val="24"/>
          <w:lang w:eastAsia="ar-SA"/>
        </w:rPr>
        <w:t xml:space="preserve"> non-interrogative tone units are purposively selected for analysis from six excerpts based on their structural ty</w:t>
      </w:r>
      <w:r>
        <w:rPr>
          <w:rFonts w:ascii="Times New Roman" w:eastAsia="Times New Roman" w:hAnsi="Times New Roman" w:cs="Times New Roman"/>
          <w:sz w:val="24"/>
          <w:szCs w:val="24"/>
          <w:lang w:eastAsia="ar-SA"/>
        </w:rPr>
        <w:t>pes and how central they are to the messages in these excerpts.</w:t>
      </w:r>
      <w:r>
        <w:rPr>
          <w:rFonts w:ascii="Times New Roman" w:hAnsi="Times New Roman" w:cs="Times New Roman"/>
          <w:sz w:val="24"/>
          <w:szCs w:val="24"/>
        </w:rPr>
        <w:t xml:space="preserve"> Twenty-four Nigerian federal legislators constitute the participants for this study; twelve legislators from the Senate and the other twelve from the House of Representatives in the 8th Parlia</w:t>
      </w:r>
      <w:r>
        <w:rPr>
          <w:rFonts w:ascii="Times New Roman" w:hAnsi="Times New Roman" w:cs="Times New Roman"/>
          <w:sz w:val="24"/>
          <w:szCs w:val="24"/>
        </w:rPr>
        <w:t xml:space="preserve">mentary Session (2015-2019 Administration). Following the provisions of the 1999 constitution of the Federal Republic of Nigeria, Nigerian legislators hold at least the First School leaving Certificate educational </w:t>
      </w:r>
      <w:proofErr w:type="gramStart"/>
      <w:r>
        <w:rPr>
          <w:rFonts w:ascii="Times New Roman" w:hAnsi="Times New Roman" w:cs="Times New Roman"/>
          <w:sz w:val="24"/>
          <w:szCs w:val="24"/>
        </w:rPr>
        <w:t>qualification, and</w:t>
      </w:r>
      <w:proofErr w:type="gramEnd"/>
      <w:r>
        <w:rPr>
          <w:rFonts w:ascii="Times New Roman" w:hAnsi="Times New Roman" w:cs="Times New Roman"/>
          <w:sz w:val="24"/>
          <w:szCs w:val="24"/>
        </w:rPr>
        <w:t xml:space="preserve"> are not younger than 35</w:t>
      </w:r>
      <w:r>
        <w:rPr>
          <w:rFonts w:ascii="Times New Roman" w:hAnsi="Times New Roman" w:cs="Times New Roman"/>
          <w:sz w:val="24"/>
          <w:szCs w:val="24"/>
        </w:rPr>
        <w:t xml:space="preserve"> years (for Senate) and 30 years (for House of Representatives). The present researcher, therefore, concentrates on those who hold educational qualification higher than SSCE.</w:t>
      </w:r>
      <w:r>
        <w:rPr>
          <w:rFonts w:ascii="Times New Roman" w:hAnsi="Times New Roman" w:cs="Times New Roman"/>
          <w:sz w:val="24"/>
          <w:szCs w:val="24"/>
          <w:lang w:val="en-US"/>
        </w:rPr>
        <w:t xml:space="preserve"> </w:t>
      </w:r>
      <w:r>
        <w:rPr>
          <w:rFonts w:ascii="Times New Roman" w:hAnsi="Times New Roman" w:cs="Times New Roman"/>
          <w:sz w:val="24"/>
          <w:szCs w:val="24"/>
        </w:rPr>
        <w:t>For the acoustic analysis, the selected utterances were played back on PRAAT soft</w:t>
      </w:r>
      <w:r>
        <w:rPr>
          <w:rFonts w:ascii="Times New Roman" w:hAnsi="Times New Roman" w:cs="Times New Roman"/>
          <w:sz w:val="24"/>
          <w:szCs w:val="24"/>
        </w:rPr>
        <w:t>ware on the computer. Some of the visual representations of the tone units (spectrograms) extracted from the utterances in the excerpts were generated and discussed in relation to the interactional context</w:t>
      </w:r>
      <w:r>
        <w:rPr>
          <w:rFonts w:ascii="Times New Roman" w:hAnsi="Times New Roman" w:cs="Times New Roman"/>
          <w:color w:val="FF0000"/>
          <w:sz w:val="24"/>
          <w:szCs w:val="24"/>
        </w:rPr>
        <w:t>.</w:t>
      </w:r>
      <w:r>
        <w:rPr>
          <w:rFonts w:ascii="Times New Roman" w:hAnsi="Times New Roman" w:cs="Times New Roman"/>
          <w:color w:val="FF0000"/>
          <w:sz w:val="24"/>
          <w:szCs w:val="24"/>
        </w:rPr>
        <w:tab/>
      </w:r>
    </w:p>
    <w:p w14:paraId="23E89505" w14:textId="77777777" w:rsidR="004139E1" w:rsidRDefault="004139E1">
      <w:pPr>
        <w:spacing w:line="240" w:lineRule="auto"/>
        <w:jc w:val="both"/>
        <w:rPr>
          <w:rFonts w:ascii="Times New Roman" w:hAnsi="Times New Roman" w:cs="Times New Roman"/>
          <w:b/>
          <w:sz w:val="24"/>
          <w:szCs w:val="24"/>
        </w:rPr>
      </w:pPr>
    </w:p>
    <w:p w14:paraId="2CA9A155" w14:textId="77777777" w:rsidR="004139E1" w:rsidRDefault="00C53D0D">
      <w:pPr>
        <w:suppressAutoHyphens/>
        <w:autoSpaceDE w:val="0"/>
        <w:spacing w:after="0" w:line="48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4. Participants’ Intonational Patterns in Non-I</w:t>
      </w:r>
      <w:r>
        <w:rPr>
          <w:rFonts w:ascii="Times New Roman" w:eastAsia="Times New Roman" w:hAnsi="Times New Roman" w:cs="Times New Roman"/>
          <w:b/>
          <w:sz w:val="24"/>
          <w:szCs w:val="24"/>
          <w:lang w:eastAsia="ar-SA"/>
        </w:rPr>
        <w:t>nterrogative Tone Units</w:t>
      </w:r>
    </w:p>
    <w:p w14:paraId="029EFC6B" w14:textId="77777777" w:rsidR="004139E1" w:rsidRDefault="00C53D0D">
      <w:pPr>
        <w:spacing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There were 41 non-interrogative tone units produced by participants at different sessions. While 10 were produced with the referring tune, the proclaiming tune was used on remaining 31 tone units. </w:t>
      </w:r>
      <w:r>
        <w:rPr>
          <w:rFonts w:ascii="Times New Roman" w:hAnsi="Times New Roman" w:cs="Times New Roman"/>
          <w:sz w:val="24"/>
          <w:szCs w:val="24"/>
        </w:rPr>
        <w:t>Nigerian federal legislators seem t</w:t>
      </w:r>
      <w:r>
        <w:rPr>
          <w:rFonts w:ascii="Times New Roman" w:hAnsi="Times New Roman" w:cs="Times New Roman"/>
          <w:sz w:val="24"/>
          <w:szCs w:val="24"/>
        </w:rPr>
        <w:t xml:space="preserve">o conform to DI in their patterns of tunes, especially in non-interrogative tone units. While sixteen participants demonstrated total conformity to DI, five performed on an exact average. It should also be added that 100% proclaiming tune was used </w:t>
      </w:r>
      <w:proofErr w:type="gramStart"/>
      <w:r>
        <w:rPr>
          <w:rFonts w:ascii="Times New Roman" w:hAnsi="Times New Roman" w:cs="Times New Roman"/>
          <w:sz w:val="24"/>
          <w:szCs w:val="24"/>
        </w:rPr>
        <w:t>in  six</w:t>
      </w:r>
      <w:proofErr w:type="gramEnd"/>
      <w:r>
        <w:rPr>
          <w:rFonts w:ascii="Times New Roman" w:hAnsi="Times New Roman" w:cs="Times New Roman"/>
          <w:sz w:val="24"/>
          <w:szCs w:val="24"/>
        </w:rPr>
        <w:t xml:space="preserve"> </w:t>
      </w:r>
      <w:r>
        <w:rPr>
          <w:rFonts w:ascii="Times New Roman" w:hAnsi="Times New Roman" w:cs="Times New Roman"/>
          <w:sz w:val="24"/>
          <w:szCs w:val="24"/>
        </w:rPr>
        <w:t>excerpts (Excerpts 1A, 3A, 3H, 4C, 4E &amp; 6A); 100% referring tune was recorded in four excerpts (Excerpts 3B, 3I, 4G, &amp; 4I); 50%  on both tunes was recorded in (Excerpts 2A, 3D, 3E, 4A, 4B, 4F &amp; 6B), and 33.3% proclaiming and 66.6% referring were recorded i</w:t>
      </w:r>
      <w:r>
        <w:rPr>
          <w:rFonts w:ascii="Times New Roman" w:hAnsi="Times New Roman" w:cs="Times New Roman"/>
          <w:sz w:val="24"/>
          <w:szCs w:val="24"/>
        </w:rPr>
        <w:t>n (Excerpts 3C, 3G, &amp; 4D).</w:t>
      </w:r>
    </w:p>
    <w:p w14:paraId="284653B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First, complete compliance was noticed in some excerpts where participants used the proclaiming tune, referring tune or even both to either provide new information or establish common ground. The choice of proclaiming tune in the</w:t>
      </w:r>
      <w:r>
        <w:rPr>
          <w:rFonts w:ascii="Times New Roman" w:hAnsi="Times New Roman" w:cs="Times New Roman"/>
          <w:sz w:val="24"/>
          <w:szCs w:val="24"/>
        </w:rPr>
        <w:t xml:space="preserve"> two non-interrogative tone units with both the non-sentence-final and sentence-final positions in 1A aligns with DI. The participant here made an announcement, and the information was regarded as new.</w:t>
      </w:r>
    </w:p>
    <w:p w14:paraId="2D073C5A"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 Excerpt 1A</w:t>
      </w:r>
    </w:p>
    <w:p w14:paraId="09A30624"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4F50083F" wp14:editId="4C5946F5">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14:paraId="4E2F4475"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14:paraId="06620AE2"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2: Excerpt 4C</w:t>
      </w:r>
    </w:p>
    <w:p w14:paraId="7A48336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803F854" wp14:editId="6B5A6164">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14:paraId="3EE9C6B2"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14:paraId="29787C4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Similarly, the utterance in Excerpt 4C has two tone units, and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were produced in a </w:t>
      </w:r>
      <w:r>
        <w:rPr>
          <w:rFonts w:ascii="Times New Roman" w:hAnsi="Times New Roman" w:cs="Times New Roman"/>
          <w:sz w:val="24"/>
          <w:szCs w:val="24"/>
        </w:rPr>
        <w:t xml:space="preserve">proclaiming tune. This was hugely in conformity to the DI; the participant expressed his personal opinion with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Both the tone unit at the sentence-final and the one at the non-sentence-final positions were produced in the proclaiming tun</w:t>
      </w:r>
      <w:r>
        <w:rPr>
          <w:rFonts w:ascii="Times New Roman" w:hAnsi="Times New Roman" w:cs="Times New Roman"/>
          <w:sz w:val="24"/>
          <w:szCs w:val="24"/>
        </w:rPr>
        <w:t>e.</w:t>
      </w:r>
    </w:p>
    <w:p w14:paraId="0E453D1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3: Excerpt 3A</w:t>
      </w:r>
    </w:p>
    <w:p w14:paraId="114547CB"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05571FFC" wp14:editId="7A72B453">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10" cstate="print">
                      <a:extLst>
                        <a:ext uri="{28A0092B-C50C-407E-A947-70E740481C1C}">
                          <a14:useLocalDpi xmlns:a14="http://schemas.microsoft.com/office/drawing/2010/main" val="0"/>
                        </a:ext>
                      </a:extLst>
                    </a:blip>
                    <a:srcRect l="7254" t="14973" r="8598" b="12328"/>
                    <a:stretch>
                      <a:fillRect/>
                    </a:stretch>
                  </pic:blipFill>
                  <pic:spPr>
                    <a:xfrm>
                      <a:off x="0" y="0"/>
                      <a:ext cx="4347286" cy="2574016"/>
                    </a:xfrm>
                    <a:prstGeom prst="rect">
                      <a:avLst/>
                    </a:prstGeom>
                    <a:noFill/>
                    <a:ln>
                      <a:noFill/>
                    </a:ln>
                  </pic:spPr>
                </pic:pic>
              </a:graphicData>
            </a:graphic>
          </wp:inline>
        </w:drawing>
      </w:r>
    </w:p>
    <w:p w14:paraId="29DFDF3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14:paraId="0C82D16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4: Excerpt 3A (II)</w:t>
      </w:r>
    </w:p>
    <w:p w14:paraId="11A7BAB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D7CD3AF" wp14:editId="58D19A0B">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11" cstate="print">
                      <a:extLst>
                        <a:ext uri="{28A0092B-C50C-407E-A947-70E740481C1C}">
                          <a14:useLocalDpi xmlns:a14="http://schemas.microsoft.com/office/drawing/2010/main" val="0"/>
                        </a:ext>
                      </a:extLst>
                    </a:blip>
                    <a:srcRect l="8098" t="16142" r="9109" b="23621"/>
                    <a:stretch>
                      <a:fillRect/>
                    </a:stretch>
                  </pic:blipFill>
                  <pic:spPr>
                    <a:xfrm>
                      <a:off x="0" y="0"/>
                      <a:ext cx="5063167" cy="2040081"/>
                    </a:xfrm>
                    <a:prstGeom prst="rect">
                      <a:avLst/>
                    </a:prstGeom>
                    <a:noFill/>
                    <a:ln>
                      <a:noFill/>
                    </a:ln>
                  </pic:spPr>
                </pic:pic>
              </a:graphicData>
            </a:graphic>
          </wp:inline>
        </w:drawing>
      </w:r>
    </w:p>
    <w:p w14:paraId="6AB248E8"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14:paraId="54A3CAF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Excerpt 3A,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were produced with the proclaiming tune. The participant used the proclaiming tune on b</w:t>
      </w:r>
      <w:r>
        <w:rPr>
          <w:rFonts w:ascii="Times New Roman" w:hAnsi="Times New Roman" w:cs="Times New Roman"/>
          <w:sz w:val="24"/>
          <w:szCs w:val="24"/>
        </w:rPr>
        <w:t xml:space="preserve">oth the non-sentence-final tone unit and the sentence-final one. Using the proclaiming tune on both tone units here suggest that their information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newly introduced to the context of interaction. Of course, in the debate, this participant said something</w:t>
      </w:r>
      <w:r>
        <w:rPr>
          <w:rFonts w:ascii="Times New Roman" w:hAnsi="Times New Roman" w:cs="Times New Roman"/>
          <w:sz w:val="24"/>
          <w:szCs w:val="24"/>
        </w:rPr>
        <w:t xml:space="preserve"> different from earlier submissions; he suggested invoking a provision for the impeachment of the President. Thus, the choice of proclaiming tune here is in accordance with DI.</w:t>
      </w:r>
    </w:p>
    <w:p w14:paraId="2AAF3C8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5: Excerpt 4A</w:t>
      </w:r>
    </w:p>
    <w:p w14:paraId="1FB1E11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C0F7E0C" wp14:editId="79637B55">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2" cstate="print">
                      <a:extLst>
                        <a:ext uri="{28A0092B-C50C-407E-A947-70E740481C1C}">
                          <a14:useLocalDpi xmlns:a14="http://schemas.microsoft.com/office/drawing/2010/main" val="0"/>
                        </a:ext>
                      </a:extLst>
                    </a:blip>
                    <a:srcRect l="4135" t="13850" r="5740" b="9789"/>
                    <a:stretch>
                      <a:fillRect/>
                    </a:stretch>
                  </pic:blipFill>
                  <pic:spPr>
                    <a:xfrm>
                      <a:off x="0" y="0"/>
                      <a:ext cx="3475852" cy="2050738"/>
                    </a:xfrm>
                    <a:prstGeom prst="rect">
                      <a:avLst/>
                    </a:prstGeom>
                    <a:noFill/>
                    <a:ln>
                      <a:noFill/>
                    </a:ln>
                  </pic:spPr>
                </pic:pic>
              </a:graphicData>
            </a:graphic>
          </wp:inline>
        </w:drawing>
      </w:r>
    </w:p>
    <w:p w14:paraId="0615AF64" w14:textId="77777777" w:rsidR="004139E1" w:rsidRDefault="00C53D0D">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w:t>
      </w:r>
      <w:r>
        <w:rPr>
          <w:rFonts w:ascii="Times New Roman" w:hAnsi="Times New Roman" w:cs="Times New Roman"/>
          <w:sz w:val="24"/>
          <w:szCs w:val="24"/>
        </w:rPr>
        <w:t>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14:paraId="08F635F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utterance was meant to remind other legislators that the bill had been passed before and to appeal that it should be passed again. The participant here, therefore, used both the referring and the proclaiming tune r</w:t>
      </w:r>
      <w:r>
        <w:rPr>
          <w:rFonts w:ascii="Times New Roman" w:hAnsi="Times New Roman" w:cs="Times New Roman"/>
          <w:sz w:val="24"/>
          <w:szCs w:val="24"/>
        </w:rPr>
        <w:t>espectively. The choice of tune on the first tone unit is suitable, according to DI and so also is the choice of tune on the second tone unit giving the new information. It is important to mention here that the tone unit carrying the referring tune is non-</w:t>
      </w:r>
      <w:r>
        <w:rPr>
          <w:rFonts w:ascii="Times New Roman" w:hAnsi="Times New Roman" w:cs="Times New Roman"/>
          <w:sz w:val="24"/>
          <w:szCs w:val="24"/>
        </w:rPr>
        <w:t xml:space="preserve">sentence final and the one produced with the proclaiming tune is </w:t>
      </w:r>
      <w:proofErr w:type="gramStart"/>
      <w:r>
        <w:rPr>
          <w:rFonts w:ascii="Times New Roman" w:hAnsi="Times New Roman" w:cs="Times New Roman"/>
          <w:sz w:val="24"/>
          <w:szCs w:val="24"/>
        </w:rPr>
        <w:t>sentence-final</w:t>
      </w:r>
      <w:proofErr w:type="gramEnd"/>
      <w:r>
        <w:rPr>
          <w:rFonts w:ascii="Times New Roman" w:hAnsi="Times New Roman" w:cs="Times New Roman"/>
          <w:sz w:val="24"/>
          <w:szCs w:val="24"/>
        </w:rPr>
        <w:t>.</w:t>
      </w:r>
    </w:p>
    <w:p w14:paraId="6882209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6: Excerpt 2A</w:t>
      </w:r>
    </w:p>
    <w:p w14:paraId="632A5B50"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87F5826" wp14:editId="486595C7">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3" cstate="print">
                      <a:extLst>
                        <a:ext uri="{28A0092B-C50C-407E-A947-70E740481C1C}">
                          <a14:useLocalDpi xmlns:a14="http://schemas.microsoft.com/office/drawing/2010/main" val="0"/>
                        </a:ext>
                      </a:extLst>
                    </a:blip>
                    <a:srcRect l="6839" t="14574" r="8493" b="12251"/>
                    <a:stretch>
                      <a:fillRect/>
                    </a:stretch>
                  </pic:blipFill>
                  <pic:spPr>
                    <a:xfrm>
                      <a:off x="0" y="0"/>
                      <a:ext cx="4513580" cy="2150110"/>
                    </a:xfrm>
                    <a:prstGeom prst="rect">
                      <a:avLst/>
                    </a:prstGeom>
                    <a:noFill/>
                    <a:ln>
                      <a:noFill/>
                    </a:ln>
                  </pic:spPr>
                </pic:pic>
              </a:graphicData>
            </a:graphic>
          </wp:inline>
        </w:drawing>
      </w:r>
    </w:p>
    <w:p w14:paraId="6AFDE6F3"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14:paraId="2991DEC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7: Excerpt 2A</w:t>
      </w:r>
    </w:p>
    <w:p w14:paraId="5C1C64B6"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C2FC363" wp14:editId="4F67B3D6">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4" cstate="print">
                      <a:extLst>
                        <a:ext uri="{28A0092B-C50C-407E-A947-70E740481C1C}">
                          <a14:useLocalDpi xmlns:a14="http://schemas.microsoft.com/office/drawing/2010/main" val="0"/>
                        </a:ext>
                      </a:extLst>
                    </a:blip>
                    <a:srcRect l="7576" t="15002" r="8771" b="12071"/>
                    <a:stretch>
                      <a:fillRect/>
                    </a:stretch>
                  </pic:blipFill>
                  <pic:spPr>
                    <a:xfrm>
                      <a:off x="0" y="0"/>
                      <a:ext cx="4504055" cy="2305685"/>
                    </a:xfrm>
                    <a:prstGeom prst="rect">
                      <a:avLst/>
                    </a:prstGeom>
                    <a:noFill/>
                    <a:ln>
                      <a:noFill/>
                    </a:ln>
                  </pic:spPr>
                </pic:pic>
              </a:graphicData>
            </a:graphic>
          </wp:inline>
        </w:drawing>
      </w:r>
    </w:p>
    <w:p w14:paraId="485093F3"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14:paraId="5648B87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first tone unit, the speaker alludes to a popular </w:t>
      </w:r>
      <w:r>
        <w:rPr>
          <w:rFonts w:ascii="Times New Roman" w:hAnsi="Times New Roman" w:cs="Times New Roman"/>
          <w:sz w:val="24"/>
          <w:szCs w:val="24"/>
        </w:rPr>
        <w:t>quote in the Bible and uses this to remind others of the shared knowledge. Therefore, the selection of a referring tune here conformed to DI; it was used to bring to remembrance that the legislator called to move the motion was the Speaker’s favourite. Fur</w:t>
      </w:r>
      <w:r>
        <w:rPr>
          <w:rFonts w:ascii="Times New Roman" w:hAnsi="Times New Roman" w:cs="Times New Roman"/>
          <w:sz w:val="24"/>
          <w:szCs w:val="24"/>
        </w:rPr>
        <w:t>ther, in the second tone unit, the speaker draws her conclusion with a proclaiming tune. The participant expressed her support for a motion earlier moved; her use of the proclaiming tune here conforms to the provision of DI. Although the motion has been mo</w:t>
      </w:r>
      <w:r>
        <w:rPr>
          <w:rFonts w:ascii="Times New Roman" w:hAnsi="Times New Roman" w:cs="Times New Roman"/>
          <w:sz w:val="24"/>
          <w:szCs w:val="24"/>
        </w:rPr>
        <w:t>ved earlier, she brought fresh insights to the interactional context before she proceeded to support the motion.</w:t>
      </w:r>
    </w:p>
    <w:p w14:paraId="3ED9188D"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8: Excerpt 3B</w:t>
      </w:r>
    </w:p>
    <w:p w14:paraId="298FADF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86AF0C8" wp14:editId="19A412E8">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14:paraId="0811C748"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I RISE/ </w:t>
      </w:r>
      <w:r>
        <w:rPr>
          <w:rFonts w:ascii="Times New Roman" w:hAnsi="Times New Roman" w:cs="Times New Roman"/>
          <w:i/>
          <w:sz w:val="24"/>
          <w:szCs w:val="24"/>
        </w:rPr>
        <w:t xml:space="preserve">r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SUPport</w:t>
      </w:r>
      <w:proofErr w:type="spellEnd"/>
      <w:r>
        <w:rPr>
          <w:rFonts w:ascii="Times New Roman" w:hAnsi="Times New Roman" w:cs="Times New Roman"/>
          <w:sz w:val="24"/>
          <w:szCs w:val="24"/>
        </w:rPr>
        <w:t xml:space="preserve"> this Motion//</w:t>
      </w:r>
    </w:p>
    <w:p w14:paraId="2D16D3D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Participant 3B’s utterance has three pre-sentence final tone units. The </w:t>
      </w:r>
      <w:r>
        <w:rPr>
          <w:rFonts w:ascii="Times New Roman" w:hAnsi="Times New Roman" w:cs="Times New Roman"/>
          <w:sz w:val="24"/>
          <w:szCs w:val="24"/>
        </w:rPr>
        <w:t>first two tone units selected were uttered in the referring tone. The participant was contributing to the common ground; thus, his choice of the referring tone is appropriate and aligns with DI.</w:t>
      </w:r>
    </w:p>
    <w:p w14:paraId="5FCAED1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Figure 9: Excerpt 3E</w:t>
      </w:r>
    </w:p>
    <w:p w14:paraId="06F7B9AC"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14:anchorId="4676177C" wp14:editId="3B6FDBA5">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16" cstate="print">
                      <a:extLst>
                        <a:ext uri="{28A0092B-C50C-407E-A947-70E740481C1C}">
                          <a14:useLocalDpi xmlns:a14="http://schemas.microsoft.com/office/drawing/2010/main" val="0"/>
                        </a:ext>
                      </a:extLst>
                    </a:blip>
                    <a:srcRect l="3822" t="11047" r="5344" b="10626"/>
                    <a:stretch>
                      <a:fillRect/>
                    </a:stretch>
                  </pic:blipFill>
                  <pic:spPr>
                    <a:xfrm>
                      <a:off x="0" y="0"/>
                      <a:ext cx="4893310" cy="1887220"/>
                    </a:xfrm>
                    <a:prstGeom prst="rect">
                      <a:avLst/>
                    </a:prstGeom>
                    <a:noFill/>
                    <a:ln>
                      <a:noFill/>
                    </a:ln>
                  </pic:spPr>
                </pic:pic>
              </a:graphicData>
            </a:graphic>
          </wp:inline>
        </w:drawing>
      </w:r>
    </w:p>
    <w:p w14:paraId="689AB52D"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w:t>
      </w:r>
      <w:r>
        <w:rPr>
          <w:rFonts w:ascii="Times New Roman" w:hAnsi="Times New Roman" w:cs="Times New Roman"/>
          <w:sz w:val="24"/>
          <w:szCs w:val="24"/>
        </w:rPr>
        <w:t>rong//</w:t>
      </w:r>
    </w:p>
    <w:p w14:paraId="12257A4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participant in excerpt 3E appropriately used the referring tune on the tone unit which agrees with the common ground and a proclaiming tune on the new information. The utterance was preluded by a submission of another federal legislator’s submis</w:t>
      </w:r>
      <w:r>
        <w:rPr>
          <w:rFonts w:ascii="Times New Roman" w:hAnsi="Times New Roman" w:cs="Times New Roman"/>
          <w:sz w:val="24"/>
          <w:szCs w:val="24"/>
        </w:rPr>
        <w:t>sion. In 3E’s opinion, the first tone unit refers to the preluded submission while the latter tone unit shares his view.</w:t>
      </w:r>
    </w:p>
    <w:p w14:paraId="42D1DEF3"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 Excerpt 4G</w:t>
      </w:r>
    </w:p>
    <w:p w14:paraId="0862D73D"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D4A1C7C" wp14:editId="2F33AF31">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17" cstate="print">
                      <a:extLst>
                        <a:ext uri="{28A0092B-C50C-407E-A947-70E740481C1C}">
                          <a14:useLocalDpi xmlns:a14="http://schemas.microsoft.com/office/drawing/2010/main" val="0"/>
                        </a:ext>
                      </a:extLst>
                    </a:blip>
                    <a:srcRect l="6003" t="13145" r="8359" b="12189"/>
                    <a:stretch>
                      <a:fillRect/>
                    </a:stretch>
                  </pic:blipFill>
                  <pic:spPr>
                    <a:xfrm>
                      <a:off x="0" y="0"/>
                      <a:ext cx="4686917" cy="2160990"/>
                    </a:xfrm>
                    <a:prstGeom prst="rect">
                      <a:avLst/>
                    </a:prstGeom>
                    <a:noFill/>
                    <a:ln>
                      <a:noFill/>
                    </a:ln>
                  </pic:spPr>
                </pic:pic>
              </a:graphicData>
            </a:graphic>
          </wp:inline>
        </w:drawing>
      </w:r>
    </w:p>
    <w:p w14:paraId="52E7F329" w14:textId="77777777" w:rsidR="004139E1" w:rsidRDefault="00C53D0D">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14:paraId="276847F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tone units here were said using</w:t>
      </w:r>
      <w:r>
        <w:rPr>
          <w:rFonts w:ascii="Times New Roman" w:hAnsi="Times New Roman" w:cs="Times New Roman"/>
          <w:sz w:val="24"/>
          <w:szCs w:val="24"/>
        </w:rPr>
        <w:t xml:space="preserve"> the proclaiming tune. It suffices to add that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are non-sentence-final tone units; thus, the choice of such a tune on them calls for attention. Uttering the first tone unit with a proclaiming tune is in accord with the DI because the firs</w:t>
      </w:r>
      <w:r>
        <w:rPr>
          <w:rFonts w:ascii="Times New Roman" w:hAnsi="Times New Roman" w:cs="Times New Roman"/>
          <w:sz w:val="24"/>
          <w:szCs w:val="24"/>
        </w:rPr>
        <w:t>t tone unit, although a subordinate clause, provides new information. But placing the same tune on the second tone unit does not conform to the DI as the tone unit provides a piece of information already existing in the context of interaction and it is the</w:t>
      </w:r>
      <w:r>
        <w:rPr>
          <w:rFonts w:ascii="Times New Roman" w:hAnsi="Times New Roman" w:cs="Times New Roman"/>
          <w:sz w:val="24"/>
          <w:szCs w:val="24"/>
        </w:rPr>
        <w:t>refore expected that it is said in a referring tune. Using a proclaiming tune on the latter tone unit which is sentence-final tone unit suggests that the choice of the participant is hugely guided by the grammatical rules of intonation.</w:t>
      </w:r>
    </w:p>
    <w:p w14:paraId="669E4B16"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Figure 11: Excerpt </w:t>
      </w:r>
      <w:r>
        <w:rPr>
          <w:rFonts w:ascii="Times New Roman" w:hAnsi="Times New Roman" w:cs="Times New Roman"/>
          <w:b/>
          <w:sz w:val="24"/>
          <w:szCs w:val="24"/>
        </w:rPr>
        <w:t>3C</w:t>
      </w:r>
    </w:p>
    <w:p w14:paraId="61B3823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6CD4C516" wp14:editId="3999D87A">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18">
                      <a:extLst>
                        <a:ext uri="{28A0092B-C50C-407E-A947-70E740481C1C}">
                          <a14:useLocalDpi xmlns:a14="http://schemas.microsoft.com/office/drawing/2010/main" val="0"/>
                        </a:ext>
                      </a:extLst>
                    </a:blip>
                    <a:srcRect l="4025" t="4831" b="2995"/>
                    <a:stretch>
                      <a:fillRect/>
                    </a:stretch>
                  </pic:blipFill>
                  <pic:spPr>
                    <a:xfrm>
                      <a:off x="0" y="0"/>
                      <a:ext cx="4513580" cy="2207895"/>
                    </a:xfrm>
                    <a:prstGeom prst="rect">
                      <a:avLst/>
                    </a:prstGeom>
                    <a:noFill/>
                    <a:ln>
                      <a:noFill/>
                    </a:ln>
                  </pic:spPr>
                </pic:pic>
              </a:graphicData>
            </a:graphic>
          </wp:inline>
        </w:drawing>
      </w:r>
    </w:p>
    <w:p w14:paraId="3E96DE5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DO not think we should impeach the </w:t>
      </w:r>
      <w:proofErr w:type="spellStart"/>
      <w:r>
        <w:rPr>
          <w:rFonts w:ascii="Times New Roman" w:hAnsi="Times New Roman" w:cs="Times New Roman"/>
          <w:sz w:val="24"/>
          <w:szCs w:val="24"/>
        </w:rPr>
        <w:t>PREsident</w:t>
      </w:r>
      <w:proofErr w:type="spellEnd"/>
      <w:r>
        <w:rPr>
          <w:rFonts w:ascii="Times New Roman" w:hAnsi="Times New Roman" w:cs="Times New Roman"/>
          <w:sz w:val="24"/>
          <w:szCs w:val="24"/>
        </w:rPr>
        <w:t xml:space="preserve"> //</w:t>
      </w:r>
    </w:p>
    <w:p w14:paraId="3CDD1E4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Before this utterance was produced, the previous speaker lends support to another legislator who already moved for the impeachment of the president. However, this participant drove the argument to </w:t>
      </w:r>
      <w:r>
        <w:rPr>
          <w:rFonts w:ascii="Times New Roman" w:hAnsi="Times New Roman" w:cs="Times New Roman"/>
          <w:sz w:val="24"/>
          <w:szCs w:val="24"/>
        </w:rPr>
        <w:t>another side. The proclaiming tune was deployed in producing the only non-interrogative tone unit in excerpt 3C. This non-sentence-final tone unit is a contribution to an ongoing argument at the plenary and this choice of proclaiming tune makes the partici</w:t>
      </w:r>
      <w:r>
        <w:rPr>
          <w:rFonts w:ascii="Times New Roman" w:hAnsi="Times New Roman" w:cs="Times New Roman"/>
          <w:sz w:val="24"/>
          <w:szCs w:val="24"/>
        </w:rPr>
        <w:t>pant conform to DI.</w:t>
      </w:r>
    </w:p>
    <w:p w14:paraId="09DE6B4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12: Excerpt 6A</w:t>
      </w:r>
    </w:p>
    <w:p w14:paraId="34C51C3D"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E1280FB" wp14:editId="06EB1406">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19" cstate="print">
                      <a:extLst>
                        <a:ext uri="{28A0092B-C50C-407E-A947-70E740481C1C}">
                          <a14:useLocalDpi xmlns:a14="http://schemas.microsoft.com/office/drawing/2010/main" val="0"/>
                        </a:ext>
                      </a:extLst>
                    </a:blip>
                    <a:srcRect l="7275" t="14290" b="10039"/>
                    <a:stretch>
                      <a:fillRect/>
                    </a:stretch>
                  </pic:blipFill>
                  <pic:spPr>
                    <a:xfrm>
                      <a:off x="0" y="0"/>
                      <a:ext cx="5178938" cy="2301833"/>
                    </a:xfrm>
                    <a:prstGeom prst="rect">
                      <a:avLst/>
                    </a:prstGeom>
                    <a:noFill/>
                    <a:ln>
                      <a:noFill/>
                    </a:ln>
                  </pic:spPr>
                </pic:pic>
              </a:graphicData>
            </a:graphic>
          </wp:inline>
        </w:drawing>
      </w:r>
    </w:p>
    <w:p w14:paraId="08D92D8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14:paraId="0EB42D9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lone tone unit in this utterance expresses the speaker’s suggestion and contribution. Therefore, deploying a proclaiming tune here is in line with </w:t>
      </w:r>
      <w:r>
        <w:rPr>
          <w:rFonts w:ascii="Times New Roman" w:hAnsi="Times New Roman" w:cs="Times New Roman"/>
          <w:sz w:val="24"/>
          <w:szCs w:val="24"/>
        </w:rPr>
        <w:t>the DI. However, we should also add that the tone unit is a sentence-final one.</w:t>
      </w:r>
    </w:p>
    <w:p w14:paraId="3145F7BC"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13: Excerpt 3G</w:t>
      </w:r>
    </w:p>
    <w:p w14:paraId="643DC72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036BE0CE" wp14:editId="5C9C0245">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20" cstate="print">
                      <a:extLst>
                        <a:ext uri="{28A0092B-C50C-407E-A947-70E740481C1C}">
                          <a14:useLocalDpi xmlns:a14="http://schemas.microsoft.com/office/drawing/2010/main" val="0"/>
                        </a:ext>
                      </a:extLst>
                    </a:blip>
                    <a:srcRect l="7158" t="17204" r="8122"/>
                    <a:stretch>
                      <a:fillRect/>
                    </a:stretch>
                  </pic:blipFill>
                  <pic:spPr>
                    <a:xfrm>
                      <a:off x="0" y="0"/>
                      <a:ext cx="4620895" cy="2227580"/>
                    </a:xfrm>
                    <a:prstGeom prst="rect">
                      <a:avLst/>
                    </a:prstGeom>
                    <a:noFill/>
                    <a:ln>
                      <a:noFill/>
                    </a:ln>
                  </pic:spPr>
                </pic:pic>
              </a:graphicData>
            </a:graphic>
          </wp:inline>
        </w:drawing>
      </w:r>
    </w:p>
    <w:p w14:paraId="310D230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14:paraId="60061F9B"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tone unit is a non-sentence-final and it expresses a shared knowledge. The participant </w:t>
      </w:r>
      <w:r>
        <w:rPr>
          <w:rFonts w:ascii="Times New Roman" w:hAnsi="Times New Roman" w:cs="Times New Roman"/>
          <w:sz w:val="24"/>
          <w:szCs w:val="24"/>
        </w:rPr>
        <w:t>referred to all the Nigerian federal legislators as part of the Nigerian government, and this is a known fact. Thus, the use of the referring tune here is in line with the DI. However, since the tone is a non-sentence-final one, it becomes too early to con</w:t>
      </w:r>
      <w:r>
        <w:rPr>
          <w:rFonts w:ascii="Times New Roman" w:hAnsi="Times New Roman" w:cs="Times New Roman"/>
          <w:sz w:val="24"/>
          <w:szCs w:val="24"/>
        </w:rPr>
        <w:t>clude.</w:t>
      </w:r>
    </w:p>
    <w:p w14:paraId="65F76981"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 Excerpt 3G</w:t>
      </w:r>
    </w:p>
    <w:p w14:paraId="5F975ECA"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680FFD30" wp14:editId="4870F866">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21" cstate="print">
                      <a:extLst>
                        <a:ext uri="{28A0092B-C50C-407E-A947-70E740481C1C}">
                          <a14:useLocalDpi xmlns:a14="http://schemas.microsoft.com/office/drawing/2010/main" val="0"/>
                        </a:ext>
                      </a:extLst>
                    </a:blip>
                    <a:srcRect l="7156" t="14391" r="8905" b="11961"/>
                    <a:stretch>
                      <a:fillRect/>
                    </a:stretch>
                  </pic:blipFill>
                  <pic:spPr>
                    <a:xfrm>
                      <a:off x="0" y="0"/>
                      <a:ext cx="4520795" cy="1896627"/>
                    </a:xfrm>
                    <a:prstGeom prst="rect">
                      <a:avLst/>
                    </a:prstGeom>
                    <a:noFill/>
                    <a:ln>
                      <a:noFill/>
                    </a:ln>
                  </pic:spPr>
                </pic:pic>
              </a:graphicData>
            </a:graphic>
          </wp:inline>
        </w:drawing>
      </w:r>
    </w:p>
    <w:p w14:paraId="4D1C5EE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14:paraId="54726105"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sentence-final tune here has a proclaiming tune. This choice is appropriate since the speaker shares </w:t>
      </w:r>
      <w:proofErr w:type="gramStart"/>
      <w:r>
        <w:rPr>
          <w:rFonts w:ascii="Times New Roman" w:hAnsi="Times New Roman" w:cs="Times New Roman"/>
          <w:sz w:val="24"/>
          <w:szCs w:val="24"/>
        </w:rPr>
        <w:t>a personal opinion</w:t>
      </w:r>
      <w:proofErr w:type="gramEnd"/>
      <w:r>
        <w:rPr>
          <w:rFonts w:ascii="Times New Roman" w:hAnsi="Times New Roman" w:cs="Times New Roman"/>
          <w:sz w:val="24"/>
          <w:szCs w:val="24"/>
        </w:rPr>
        <w:t xml:space="preserve"> which is new in the interactio</w:t>
      </w:r>
      <w:r>
        <w:rPr>
          <w:rFonts w:ascii="Times New Roman" w:hAnsi="Times New Roman" w:cs="Times New Roman"/>
          <w:sz w:val="24"/>
          <w:szCs w:val="24"/>
        </w:rPr>
        <w:t>nal context.</w:t>
      </w:r>
    </w:p>
    <w:p w14:paraId="4300DC2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average conformity to DI was recorded in three excerpts as mentioned earlier (Excerpts 4E, 4F, and 6B). In 4E, the participant did not introduce something new to the context of interaction with the first </w:t>
      </w:r>
      <w:proofErr w:type="gramStart"/>
      <w:r>
        <w:rPr>
          <w:rFonts w:ascii="Times New Roman" w:hAnsi="Times New Roman" w:cs="Times New Roman"/>
          <w:sz w:val="24"/>
          <w:szCs w:val="24"/>
        </w:rPr>
        <w:t>unit</w:t>
      </w:r>
      <w:proofErr w:type="gramEnd"/>
      <w:r>
        <w:rPr>
          <w:rFonts w:ascii="Times New Roman" w:hAnsi="Times New Roman" w:cs="Times New Roman"/>
          <w:sz w:val="24"/>
          <w:szCs w:val="24"/>
        </w:rPr>
        <w:t xml:space="preserve"> yet he placed a</w:t>
      </w:r>
      <w:r>
        <w:rPr>
          <w:rFonts w:ascii="Times New Roman" w:hAnsi="Times New Roman" w:cs="Times New Roman"/>
          <w:sz w:val="24"/>
          <w:szCs w:val="24"/>
        </w:rPr>
        <w:t xml:space="preserve"> proclaiming tune on it. However, the second tone unit, the participant shared </w:t>
      </w:r>
      <w:proofErr w:type="gramStart"/>
      <w:r>
        <w:rPr>
          <w:rFonts w:ascii="Times New Roman" w:hAnsi="Times New Roman" w:cs="Times New Roman"/>
          <w:sz w:val="24"/>
          <w:szCs w:val="24"/>
        </w:rPr>
        <w:t>a personal opinion</w:t>
      </w:r>
      <w:proofErr w:type="gramEnd"/>
      <w:r>
        <w:rPr>
          <w:rFonts w:ascii="Times New Roman" w:hAnsi="Times New Roman" w:cs="Times New Roman"/>
          <w:sz w:val="24"/>
          <w:szCs w:val="24"/>
        </w:rPr>
        <w:t xml:space="preserve"> with a proclaiming tune.</w:t>
      </w:r>
    </w:p>
    <w:p w14:paraId="13099344"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 Excerpt 4E</w:t>
      </w:r>
    </w:p>
    <w:p w14:paraId="716350C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noProof/>
          <w:sz w:val="24"/>
          <w:szCs w:val="24"/>
          <w:lang w:val="en-US"/>
        </w:rPr>
        <w:drawing>
          <wp:inline distT="0" distB="0" distL="0" distR="0" wp14:anchorId="30F6325A" wp14:editId="6FF6839B">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2">
                      <a:extLst>
                        <a:ext uri="{28A0092B-C50C-407E-A947-70E740481C1C}">
                          <a14:useLocalDpi xmlns:a14="http://schemas.microsoft.com/office/drawing/2010/main" val="0"/>
                        </a:ext>
                      </a:extLst>
                    </a:blip>
                    <a:srcRect l="2309" r="1384" b="5957"/>
                    <a:stretch>
                      <a:fillRect/>
                    </a:stretch>
                  </pic:blipFill>
                  <pic:spPr>
                    <a:xfrm>
                      <a:off x="0" y="0"/>
                      <a:ext cx="4367530" cy="2538730"/>
                    </a:xfrm>
                    <a:prstGeom prst="rect">
                      <a:avLst/>
                    </a:prstGeom>
                    <a:noFill/>
                    <a:ln>
                      <a:noFill/>
                    </a:ln>
                  </pic:spPr>
                </pic:pic>
              </a:graphicData>
            </a:graphic>
          </wp:inline>
        </w:drawing>
      </w:r>
    </w:p>
    <w:p w14:paraId="0A1F8BB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16: Excerpt 4E (II)</w:t>
      </w:r>
    </w:p>
    <w:p w14:paraId="773E8FD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F23B423" wp14:editId="77C29307">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3" cstate="print">
                      <a:extLst>
                        <a:ext uri="{28A0092B-C50C-407E-A947-70E740481C1C}">
                          <a14:useLocalDpi xmlns:a14="http://schemas.microsoft.com/office/drawing/2010/main" val="0"/>
                        </a:ext>
                      </a:extLst>
                    </a:blip>
                    <a:srcRect l="6741" t="14247" b="12097"/>
                    <a:stretch>
                      <a:fillRect/>
                    </a:stretch>
                  </pic:blipFill>
                  <pic:spPr>
                    <a:xfrm>
                      <a:off x="0" y="0"/>
                      <a:ext cx="4350885" cy="2283662"/>
                    </a:xfrm>
                    <a:prstGeom prst="rect">
                      <a:avLst/>
                    </a:prstGeom>
                    <a:noFill/>
                    <a:ln>
                      <a:noFill/>
                    </a:ln>
                  </pic:spPr>
                </pic:pic>
              </a:graphicData>
            </a:graphic>
          </wp:inline>
        </w:drawing>
      </w:r>
    </w:p>
    <w:p w14:paraId="36220294"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14:paraId="51C9B3D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6B,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have both proclaim</w:t>
      </w:r>
      <w:r>
        <w:rPr>
          <w:rFonts w:ascii="Times New Roman" w:hAnsi="Times New Roman" w:cs="Times New Roman"/>
          <w:sz w:val="24"/>
          <w:szCs w:val="24"/>
        </w:rPr>
        <w:t>ing and referring tunes respectively. Since the initial tone unit is a non-sentence-final tone unit, the choice of a referring tune here is appropriate following the provisions of grammatical rule-based intonation. However, because the information in these</w:t>
      </w:r>
      <w:r>
        <w:rPr>
          <w:rFonts w:ascii="Times New Roman" w:hAnsi="Times New Roman" w:cs="Times New Roman"/>
          <w:sz w:val="24"/>
          <w:szCs w:val="24"/>
        </w:rPr>
        <w:t xml:space="preserve"> tone units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new in the context and are also the contributions of the speaker which have not been said before, they should both have the proclaiming tune (not only on the second tone unit) according to DI. Thus, this made the tone unit to be averagely i</w:t>
      </w:r>
      <w:r>
        <w:rPr>
          <w:rFonts w:ascii="Times New Roman" w:hAnsi="Times New Roman" w:cs="Times New Roman"/>
          <w:sz w:val="24"/>
          <w:szCs w:val="24"/>
        </w:rPr>
        <w:t xml:space="preserve">n line with the DI. </w:t>
      </w:r>
    </w:p>
    <w:p w14:paraId="420440C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 Excerpt 6B</w:t>
      </w:r>
    </w:p>
    <w:p w14:paraId="3835E2B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E8F7E75" wp14:editId="61F345B7">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4" cstate="print">
                      <a:extLst>
                        <a:ext uri="{28A0092B-C50C-407E-A947-70E740481C1C}">
                          <a14:useLocalDpi xmlns:a14="http://schemas.microsoft.com/office/drawing/2010/main" val="0"/>
                        </a:ext>
                      </a:extLst>
                    </a:blip>
                    <a:srcRect l="5011" t="14073" r="5562" b="10031"/>
                    <a:stretch>
                      <a:fillRect/>
                    </a:stretch>
                  </pic:blipFill>
                  <pic:spPr>
                    <a:xfrm>
                      <a:off x="0" y="0"/>
                      <a:ext cx="4957308" cy="2112937"/>
                    </a:xfrm>
                    <a:prstGeom prst="rect">
                      <a:avLst/>
                    </a:prstGeom>
                    <a:noFill/>
                    <a:ln>
                      <a:noFill/>
                    </a:ln>
                  </pic:spPr>
                </pic:pic>
              </a:graphicData>
            </a:graphic>
          </wp:inline>
        </w:drawing>
      </w:r>
    </w:p>
    <w:p w14:paraId="06467653"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14:paraId="5835EF5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18: Excerpt 3D</w:t>
      </w:r>
    </w:p>
    <w:p w14:paraId="282BEEB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CC65705" wp14:editId="700536FA">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5" cstate="print">
                      <a:extLst>
                        <a:ext uri="{28A0092B-C50C-407E-A947-70E740481C1C}">
                          <a14:useLocalDpi xmlns:a14="http://schemas.microsoft.com/office/drawing/2010/main" val="0"/>
                        </a:ext>
                      </a:extLst>
                    </a:blip>
                    <a:srcRect l="7941" t="13382" r="8609" b="13310"/>
                    <a:stretch>
                      <a:fillRect/>
                    </a:stretch>
                  </pic:blipFill>
                  <pic:spPr>
                    <a:xfrm>
                      <a:off x="0" y="0"/>
                      <a:ext cx="5056894" cy="2019452"/>
                    </a:xfrm>
                    <a:prstGeom prst="rect">
                      <a:avLst/>
                    </a:prstGeom>
                    <a:noFill/>
                    <a:ln>
                      <a:noFill/>
                    </a:ln>
                  </pic:spPr>
                </pic:pic>
              </a:graphicData>
            </a:graphic>
          </wp:inline>
        </w:drawing>
      </w:r>
    </w:p>
    <w:p w14:paraId="3871C3F7"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oppose this </w:t>
      </w:r>
      <w:proofErr w:type="spellStart"/>
      <w:r>
        <w:rPr>
          <w:rFonts w:ascii="Times New Roman" w:hAnsi="Times New Roman" w:cs="Times New Roman"/>
          <w:sz w:val="24"/>
          <w:szCs w:val="24"/>
        </w:rPr>
        <w:t>MOtion</w:t>
      </w:r>
      <w:proofErr w:type="spellEnd"/>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because it’s politically </w:t>
      </w:r>
      <w:proofErr w:type="spellStart"/>
      <w:r>
        <w:rPr>
          <w:rFonts w:ascii="Times New Roman" w:hAnsi="Times New Roman" w:cs="Times New Roman"/>
          <w:sz w:val="24"/>
          <w:szCs w:val="24"/>
        </w:rPr>
        <w:t>MOtivated</w:t>
      </w:r>
      <w:proofErr w:type="spellEnd"/>
      <w:r>
        <w:rPr>
          <w:rFonts w:ascii="Times New Roman" w:hAnsi="Times New Roman" w:cs="Times New Roman"/>
          <w:sz w:val="24"/>
          <w:szCs w:val="24"/>
        </w:rPr>
        <w:t>//</w:t>
      </w:r>
    </w:p>
    <w:p w14:paraId="7F779A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Also, in excerpt 3D, the </w:t>
      </w:r>
      <w:r>
        <w:rPr>
          <w:rFonts w:ascii="Times New Roman" w:hAnsi="Times New Roman" w:cs="Times New Roman"/>
          <w:sz w:val="24"/>
          <w:szCs w:val="24"/>
        </w:rPr>
        <w:t xml:space="preserve">participant averagely conformed to the DI;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in that excerpts had one proclaiming tune and one referring tune respectively. Since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are new in the context of interaction, it is expected that the proclaiming tune is deploye</w:t>
      </w:r>
      <w:r>
        <w:rPr>
          <w:rFonts w:ascii="Times New Roman" w:hAnsi="Times New Roman" w:cs="Times New Roman"/>
          <w:sz w:val="24"/>
          <w:szCs w:val="24"/>
        </w:rPr>
        <w:t>d.</w:t>
      </w:r>
    </w:p>
    <w:p w14:paraId="2A66241B"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19: Excerpt 4B</w:t>
      </w:r>
    </w:p>
    <w:p w14:paraId="2B83EDF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131AFEB2" wp14:editId="0DA9BF78">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26" cstate="print">
                      <a:extLst>
                        <a:ext uri="{28A0092B-C50C-407E-A947-70E740481C1C}">
                          <a14:useLocalDpi xmlns:a14="http://schemas.microsoft.com/office/drawing/2010/main" val="0"/>
                        </a:ext>
                      </a:extLst>
                    </a:blip>
                    <a:srcRect l="4344" t="10291" r="5315" b="9723"/>
                    <a:stretch>
                      <a:fillRect/>
                    </a:stretch>
                  </pic:blipFill>
                  <pic:spPr>
                    <a:xfrm>
                      <a:off x="0" y="0"/>
                      <a:ext cx="3842385" cy="2587625"/>
                    </a:xfrm>
                    <a:prstGeom prst="rect">
                      <a:avLst/>
                    </a:prstGeom>
                    <a:noFill/>
                    <a:ln>
                      <a:noFill/>
                    </a:ln>
                  </pic:spPr>
                </pic:pic>
              </a:graphicData>
            </a:graphic>
          </wp:inline>
        </w:drawing>
      </w:r>
    </w:p>
    <w:p w14:paraId="7F4CBB2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14:paraId="3DB497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stated earlier in this study, in DI, the referring tune is also used with disjuncts to show solidarity with other interlocutors; thus, the choice of a referring tune on the </w:t>
      </w:r>
      <w:r>
        <w:rPr>
          <w:rFonts w:ascii="Times New Roman" w:hAnsi="Times New Roman" w:cs="Times New Roman"/>
          <w:sz w:val="24"/>
          <w:szCs w:val="24"/>
        </w:rPr>
        <w:t>first tone unit conforms to the DI. However, the choice of a referring tune on the second tone unit, although a non-sentence-final tone unit, does not conform with the DI because the speaker has not shown his position about the subject of discussion before</w:t>
      </w:r>
      <w:r>
        <w:rPr>
          <w:rFonts w:ascii="Times New Roman" w:hAnsi="Times New Roman" w:cs="Times New Roman"/>
          <w:sz w:val="24"/>
          <w:szCs w:val="24"/>
        </w:rPr>
        <w:t xml:space="preserve"> then.</w:t>
      </w:r>
    </w:p>
    <w:p w14:paraId="541BEC4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summary, while the percentage of excerpts which are completely in accord with DI scores 76.2%, the one with average conformity has 23.8%. Thus, a vast number of Nigerian federal legislators conform to DI in their patterns on non-interrogative ton</w:t>
      </w:r>
      <w:r>
        <w:rPr>
          <w:rFonts w:ascii="Times New Roman" w:hAnsi="Times New Roman" w:cs="Times New Roman"/>
          <w:sz w:val="24"/>
          <w:szCs w:val="24"/>
        </w:rPr>
        <w:t>e units.</w:t>
      </w:r>
    </w:p>
    <w:p w14:paraId="4E448B87" w14:textId="77777777" w:rsidR="004139E1" w:rsidRDefault="004139E1">
      <w:pPr>
        <w:spacing w:line="240" w:lineRule="auto"/>
        <w:jc w:val="both"/>
        <w:rPr>
          <w:rFonts w:ascii="Times New Roman" w:hAnsi="Times New Roman" w:cs="Times New Roman"/>
          <w:sz w:val="24"/>
          <w:szCs w:val="24"/>
        </w:rPr>
      </w:pPr>
    </w:p>
    <w:p w14:paraId="36A9A02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4.2 Analysis of Tone Units by Gender</w:t>
      </w:r>
    </w:p>
    <w:p w14:paraId="2472819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Since the Nigerian federal legislators comprise of both male and female members, a study of their intonation patterns should distinguish tune choices made by the different gender. There are much fewer female f</w:t>
      </w:r>
      <w:r>
        <w:rPr>
          <w:rFonts w:ascii="Times New Roman" w:hAnsi="Times New Roman" w:cs="Times New Roman"/>
          <w:sz w:val="24"/>
          <w:szCs w:val="24"/>
        </w:rPr>
        <w:t>ederal legislators than male in Nigerian national assembly; there about six female senators in the 8th parliamentary administration. Excerpts 2A, 3I and 4G were produced by female participants while all other excerpts were uttered by male participants.</w:t>
      </w:r>
    </w:p>
    <w:p w14:paraId="57E15963"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z w:val="24"/>
          <w:szCs w:val="24"/>
        </w:rPr>
        <w:t>re are noticeable differences in the intonation patterns of male and female Nigerian federal legislators. On the non-interrogative tone units, it was found out that female scored 80% in their choice of referring tune than the male participants who had 45.9</w:t>
      </w:r>
      <w:r>
        <w:rPr>
          <w:rFonts w:ascii="Times New Roman" w:hAnsi="Times New Roman" w:cs="Times New Roman"/>
          <w:sz w:val="24"/>
          <w:szCs w:val="24"/>
        </w:rPr>
        <w:t>%. Here, the female participants strictly adhered to the grammatical rules of intonation. The only proclaiming tune was used on the lone sentence-final tone unit, whereas the 4 non-sentence final tone units left were produced in the referring tune. Althoug</w:t>
      </w:r>
      <w:r>
        <w:rPr>
          <w:rFonts w:ascii="Times New Roman" w:hAnsi="Times New Roman" w:cs="Times New Roman"/>
          <w:sz w:val="24"/>
          <w:szCs w:val="24"/>
        </w:rPr>
        <w:t>h the contextual influence of these tunes has earlier been discussed to be in line with DI, the recent discovery here shows that the female participants are not aware of the DI. Rather, their pattern of intonation on non-interrogative tone units is informe</w:t>
      </w:r>
      <w:r>
        <w:rPr>
          <w:rFonts w:ascii="Times New Roman" w:hAnsi="Times New Roman" w:cs="Times New Roman"/>
          <w:sz w:val="24"/>
          <w:szCs w:val="24"/>
        </w:rPr>
        <w:t>d by the grammatical functions of intonation.</w:t>
      </w:r>
    </w:p>
    <w:p w14:paraId="7B2F10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Still on the non-interrogative tone units, male participants had 54.1% in their choice of proclaiming tune and 45.9% in the use of referring tune. A careful examination revealed that 18 </w:t>
      </w:r>
      <w:r>
        <w:rPr>
          <w:rFonts w:ascii="Times New Roman" w:hAnsi="Times New Roman" w:cs="Times New Roman"/>
          <w:sz w:val="24"/>
          <w:szCs w:val="24"/>
        </w:rPr>
        <w:lastRenderedPageBreak/>
        <w:t>of their non-interrogati</w:t>
      </w:r>
      <w:r>
        <w:rPr>
          <w:rFonts w:ascii="Times New Roman" w:hAnsi="Times New Roman" w:cs="Times New Roman"/>
          <w:sz w:val="24"/>
          <w:szCs w:val="24"/>
        </w:rPr>
        <w:t>ve tone units were non-sentence-final, and only two was uttered in the proclaiming tune while the rest were produced in the referring tune. Excerpts 1A and 3A, although non-sentence final, were uttered in the proclaiming tune. As discussed earlier, this ch</w:t>
      </w:r>
      <w:r>
        <w:rPr>
          <w:rFonts w:ascii="Times New Roman" w:hAnsi="Times New Roman" w:cs="Times New Roman"/>
          <w:sz w:val="24"/>
          <w:szCs w:val="24"/>
        </w:rPr>
        <w:t>oice conforms to DI. Also, on the 19 sentence-final tone units, only one (Excerpt 4D) was produced in the referring tune. Again, considering the context of this tone unit, the choice of referring tune here is in accordance with DI. Hence, the male particip</w:t>
      </w:r>
      <w:r>
        <w:rPr>
          <w:rFonts w:ascii="Times New Roman" w:hAnsi="Times New Roman" w:cs="Times New Roman"/>
          <w:sz w:val="24"/>
          <w:szCs w:val="24"/>
        </w:rPr>
        <w:t>ants demonstrated, to some extent, the knowledge of DI in their choice of tunes on non-interrogative tone units.</w:t>
      </w:r>
    </w:p>
    <w:p w14:paraId="578FF0B8"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Following the findings in this sub-section, it is not wrong to submit that there is a distinction in the patterns of English intonation of Nige</w:t>
      </w:r>
      <w:r>
        <w:rPr>
          <w:rFonts w:ascii="Times New Roman" w:hAnsi="Times New Roman" w:cs="Times New Roman"/>
          <w:sz w:val="24"/>
          <w:szCs w:val="24"/>
        </w:rPr>
        <w:t xml:space="preserve">rian federal legislators based on gender. While the male participants, to some extent, conform to DI, the female ones completely adhere to the grammatical rules of intonation in their choice of intonation on non-interrogative tone units. This is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position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p. 129) that “gender, to some extent influences intonational choices”. However, on their choice of tunes on interrogative tone units, both do not have a difference; they conform to the grammatical rules.</w:t>
      </w:r>
    </w:p>
    <w:p w14:paraId="4812B1F6" w14:textId="77777777" w:rsidR="004139E1" w:rsidRDefault="004139E1">
      <w:pPr>
        <w:spacing w:line="240" w:lineRule="auto"/>
        <w:jc w:val="both"/>
        <w:rPr>
          <w:rFonts w:ascii="Times New Roman" w:hAnsi="Times New Roman" w:cs="Times New Roman"/>
          <w:sz w:val="24"/>
          <w:szCs w:val="24"/>
        </w:rPr>
      </w:pPr>
    </w:p>
    <w:p w14:paraId="1042128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14:paraId="51CD3E3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From</w:t>
      </w:r>
      <w:r>
        <w:rPr>
          <w:rFonts w:ascii="Times New Roman" w:hAnsi="Times New Roman" w:cs="Times New Roman"/>
          <w:sz w:val="24"/>
          <w:szCs w:val="24"/>
        </w:rPr>
        <w:t xml:space="preserve"> the data collated, analysed and discussed, this study found out that the English intonation patterns of the Nigerian federal legislators on non-interrogative tone units largely conform to DI. They were able to use both the referring tune and the proclaimi</w:t>
      </w:r>
      <w:r>
        <w:rPr>
          <w:rFonts w:ascii="Times New Roman" w:hAnsi="Times New Roman" w:cs="Times New Roman"/>
          <w:sz w:val="24"/>
          <w:szCs w:val="24"/>
        </w:rPr>
        <w:t>ng tune to reiterate what was already known or previously said and to contribute new information respectively.   Deploying Brazil’s Discourse Intonation in analysing the tone units of Nigerian federal legislators at plenaries has shown how they use English</w:t>
      </w:r>
      <w:r>
        <w:rPr>
          <w:rFonts w:ascii="Times New Roman" w:hAnsi="Times New Roman" w:cs="Times New Roman"/>
          <w:sz w:val="24"/>
          <w:szCs w:val="24"/>
        </w:rPr>
        <w:t xml:space="preserve"> intonation patterns in </w:t>
      </w:r>
      <w:proofErr w:type="gramStart"/>
      <w:r>
        <w:rPr>
          <w:rFonts w:ascii="Times New Roman" w:hAnsi="Times New Roman" w:cs="Times New Roman"/>
          <w:sz w:val="24"/>
          <w:szCs w:val="24"/>
        </w:rPr>
        <w:t>naturally-occurring</w:t>
      </w:r>
      <w:proofErr w:type="gramEnd"/>
      <w:r>
        <w:rPr>
          <w:rFonts w:ascii="Times New Roman" w:hAnsi="Times New Roman" w:cs="Times New Roman"/>
          <w:sz w:val="24"/>
          <w:szCs w:val="24"/>
        </w:rPr>
        <w:t xml:space="preserve"> speeches. The findings of this study buttress the classification of Nigerian English by Taiwo (2012). The Variety III, as classified by Taiwo (2012), constitutes a variation of Nigerian English close to RP with s</w:t>
      </w:r>
      <w:r>
        <w:rPr>
          <w:rFonts w:ascii="Times New Roman" w:hAnsi="Times New Roman" w:cs="Times New Roman"/>
          <w:sz w:val="24"/>
          <w:szCs w:val="24"/>
        </w:rPr>
        <w:t xml:space="preserve">peakers with university education. Majority of the participants of this study hold at least a university degree, and they were able to vary patterns of their English intonation patterns on the different structural types of tone units. </w:t>
      </w:r>
    </w:p>
    <w:p w14:paraId="49D8FC9A"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patterns of Nige</w:t>
      </w:r>
      <w:r>
        <w:rPr>
          <w:rFonts w:ascii="Times New Roman" w:hAnsi="Times New Roman" w:cs="Times New Roman"/>
          <w:sz w:val="24"/>
          <w:szCs w:val="24"/>
        </w:rPr>
        <w:t>rian federal legislators, in summary, are not consistent with DI; rather they are hugely in line with the formalised intonation rules. They seem not to be aware of the context-motivated intonation patterns. They are not conscious of the communicative value</w:t>
      </w:r>
      <w:r>
        <w:rPr>
          <w:rFonts w:ascii="Times New Roman" w:hAnsi="Times New Roman" w:cs="Times New Roman"/>
          <w:sz w:val="24"/>
          <w:szCs w:val="24"/>
        </w:rPr>
        <w:t xml:space="preserve"> of English intonation in </w:t>
      </w:r>
      <w:proofErr w:type="gramStart"/>
      <w:r>
        <w:rPr>
          <w:rFonts w:ascii="Times New Roman" w:hAnsi="Times New Roman" w:cs="Times New Roman"/>
          <w:sz w:val="24"/>
          <w:szCs w:val="24"/>
        </w:rPr>
        <w:t>discourse</w:t>
      </w:r>
      <w:proofErr w:type="gramEnd"/>
      <w:r>
        <w:rPr>
          <w:rFonts w:ascii="Times New Roman" w:hAnsi="Times New Roman" w:cs="Times New Roman"/>
          <w:sz w:val="24"/>
          <w:szCs w:val="24"/>
        </w:rPr>
        <w:t xml:space="preserve"> but they are mainly concerned about structural types of their utterances and the kinds of tunes used with them.</w:t>
      </w:r>
    </w:p>
    <w:p w14:paraId="245F8F5E" w14:textId="77777777" w:rsidR="004139E1" w:rsidRDefault="004139E1">
      <w:pPr>
        <w:spacing w:line="240" w:lineRule="auto"/>
        <w:jc w:val="both"/>
        <w:rPr>
          <w:rFonts w:ascii="Times New Roman" w:hAnsi="Times New Roman" w:cs="Times New Roman"/>
          <w:sz w:val="24"/>
          <w:szCs w:val="24"/>
        </w:rPr>
      </w:pPr>
    </w:p>
    <w:p w14:paraId="010BC073"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6. Suggestions for Further Studies</w:t>
      </w:r>
    </w:p>
    <w:p w14:paraId="3AE2B13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concentrated on the choice of tunes of the Nigerian federal l</w:t>
      </w:r>
      <w:r>
        <w:rPr>
          <w:rFonts w:ascii="Times New Roman" w:hAnsi="Times New Roman" w:cs="Times New Roman"/>
          <w:sz w:val="24"/>
          <w:szCs w:val="24"/>
        </w:rPr>
        <w:t xml:space="preserve">egislators between August 2017 and May 2018. This scope delimits the present researcher to plenaries available within that time frame. Consequently, polar interrogative tone units produced by a female were not available. </w:t>
      </w:r>
    </w:p>
    <w:p w14:paraId="25B4DEE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earlier, this study c</w:t>
      </w:r>
      <w:r>
        <w:rPr>
          <w:rFonts w:ascii="Times New Roman" w:hAnsi="Times New Roman" w:cs="Times New Roman"/>
          <w:sz w:val="24"/>
          <w:szCs w:val="24"/>
        </w:rPr>
        <w:t xml:space="preserve">oncentrated on the choice of tunes, which is just a component (tone) out of the four components of Brazil’s DI. Since DI provides three other components: termination, key and prominence, further researchers may base their studies on Nigerian </w:t>
      </w:r>
      <w:r>
        <w:rPr>
          <w:rFonts w:ascii="Times New Roman" w:hAnsi="Times New Roman" w:cs="Times New Roman"/>
          <w:sz w:val="24"/>
          <w:szCs w:val="24"/>
        </w:rPr>
        <w:lastRenderedPageBreak/>
        <w:t xml:space="preserve">intonation on </w:t>
      </w:r>
      <w:r>
        <w:rPr>
          <w:rFonts w:ascii="Times New Roman" w:hAnsi="Times New Roman" w:cs="Times New Roman"/>
          <w:sz w:val="24"/>
          <w:szCs w:val="24"/>
        </w:rPr>
        <w:t>these components. This will foster in-depth knowledge on the ongoing studies of English intonation of Nigerian speakers and second-language speakers of English language.</w:t>
      </w:r>
    </w:p>
    <w:p w14:paraId="26D8F08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lang w:val="en-US"/>
        </w:rPr>
        <w:t>7.</w:t>
      </w:r>
      <w:r>
        <w:rPr>
          <w:rFonts w:ascii="Times New Roman" w:hAnsi="Times New Roman" w:cs="Times New Roman"/>
          <w:b/>
          <w:sz w:val="24"/>
          <w:szCs w:val="24"/>
        </w:rPr>
        <w:tab/>
        <w:t>Recommendations</w:t>
      </w:r>
    </w:p>
    <w:p w14:paraId="6B90615A"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With the present state of Nigerian English intonation as revealed b</w:t>
      </w:r>
      <w:r>
        <w:rPr>
          <w:rFonts w:ascii="Times New Roman" w:hAnsi="Times New Roman" w:cs="Times New Roman"/>
          <w:sz w:val="24"/>
          <w:szCs w:val="24"/>
        </w:rPr>
        <w:t>y this study that Nigerian federal legislators are not quite consistent in the how they deploy intonation tunes to construe intentions in the English language, the following recommendations are tendered for the provisions of necessary amendments and advanc</w:t>
      </w:r>
      <w:r>
        <w:rPr>
          <w:rFonts w:ascii="Times New Roman" w:hAnsi="Times New Roman" w:cs="Times New Roman"/>
          <w:sz w:val="24"/>
          <w:szCs w:val="24"/>
        </w:rPr>
        <w:t>ement.</w:t>
      </w:r>
    </w:p>
    <w:p w14:paraId="1CF3B2A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a need to </w:t>
      </w:r>
      <w:proofErr w:type="gramStart"/>
      <w:r>
        <w:rPr>
          <w:rFonts w:ascii="Times New Roman" w:hAnsi="Times New Roman" w:cs="Times New Roman"/>
          <w:sz w:val="24"/>
          <w:szCs w:val="24"/>
        </w:rPr>
        <w:t>look into</w:t>
      </w:r>
      <w:proofErr w:type="gramEnd"/>
      <w:r>
        <w:rPr>
          <w:rFonts w:ascii="Times New Roman" w:hAnsi="Times New Roman" w:cs="Times New Roman"/>
          <w:sz w:val="24"/>
          <w:szCs w:val="24"/>
        </w:rPr>
        <w:t xml:space="preserve"> the aspect of formal education — the school. Discourse Intonation should be emphasised in schools. In addition to the grammatical based rules of intonation taught in schools, both the primary and secondary schools’ langu</w:t>
      </w:r>
      <w:r>
        <w:rPr>
          <w:rFonts w:ascii="Times New Roman" w:hAnsi="Times New Roman" w:cs="Times New Roman"/>
          <w:sz w:val="24"/>
          <w:szCs w:val="24"/>
        </w:rPr>
        <w:t xml:space="preserve">age syllabi should reflect DI. Nigerians should be made to understand how to properly use either the proclaiming or referring tune on any structural types of </w:t>
      </w:r>
      <w:proofErr w:type="gramStart"/>
      <w:r>
        <w:rPr>
          <w:rFonts w:ascii="Times New Roman" w:hAnsi="Times New Roman" w:cs="Times New Roman"/>
          <w:sz w:val="24"/>
          <w:szCs w:val="24"/>
        </w:rPr>
        <w:t>sentence</w:t>
      </w:r>
      <w:proofErr w:type="gramEnd"/>
      <w:r>
        <w:rPr>
          <w:rFonts w:ascii="Times New Roman" w:hAnsi="Times New Roman" w:cs="Times New Roman"/>
          <w:sz w:val="24"/>
          <w:szCs w:val="24"/>
        </w:rPr>
        <w:t xml:space="preserve"> and convey their intention(s) without being misunderstood. To an extent, Nigerian pupils </w:t>
      </w:r>
      <w:r>
        <w:rPr>
          <w:rFonts w:ascii="Times New Roman" w:hAnsi="Times New Roman" w:cs="Times New Roman"/>
          <w:sz w:val="24"/>
          <w:szCs w:val="24"/>
        </w:rPr>
        <w:t xml:space="preserve">and students are aware of the type of tune that is used on a polar question, a </w:t>
      </w:r>
      <w:proofErr w:type="spellStart"/>
      <w:r>
        <w:rPr>
          <w:rFonts w:ascii="Times New Roman" w:hAnsi="Times New Roman" w:cs="Times New Roman"/>
          <w:sz w:val="24"/>
          <w:szCs w:val="24"/>
        </w:rPr>
        <w:t>wh</w:t>
      </w:r>
      <w:proofErr w:type="spellEnd"/>
      <w:r>
        <w:rPr>
          <w:rFonts w:ascii="Times New Roman" w:hAnsi="Times New Roman" w:cs="Times New Roman"/>
          <w:sz w:val="24"/>
          <w:szCs w:val="24"/>
        </w:rPr>
        <w:t>-question and a non-interrogative statement respectively, but there is need to enlighten them on how to make context-based choices of tunes based on intentions. This can be do</w:t>
      </w:r>
      <w:r>
        <w:rPr>
          <w:rFonts w:ascii="Times New Roman" w:hAnsi="Times New Roman" w:cs="Times New Roman"/>
          <w:sz w:val="24"/>
          <w:szCs w:val="24"/>
        </w:rPr>
        <w:t>ne in several ways, but it must first be added to the syllabi. Pupils/students can also be made to play different roles to see how they deploy intonation patterns. For instance, they can be instructed to play market scene where some of them act as buyers a</w:t>
      </w:r>
      <w:r>
        <w:rPr>
          <w:rFonts w:ascii="Times New Roman" w:hAnsi="Times New Roman" w:cs="Times New Roman"/>
          <w:sz w:val="24"/>
          <w:szCs w:val="24"/>
        </w:rPr>
        <w:t>nd the other sellers.</w:t>
      </w:r>
    </w:p>
    <w:p w14:paraId="4C18AAEC" w14:textId="77777777" w:rsidR="004139E1" w:rsidRDefault="004139E1">
      <w:pPr>
        <w:spacing w:line="240" w:lineRule="auto"/>
        <w:jc w:val="both"/>
        <w:rPr>
          <w:rFonts w:ascii="Times New Roman" w:hAnsi="Times New Roman" w:cs="Times New Roman"/>
          <w:b/>
          <w:sz w:val="24"/>
          <w:szCs w:val="24"/>
        </w:rPr>
      </w:pPr>
    </w:p>
    <w:p w14:paraId="6961F0CE"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6D5FFD34"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t xml:space="preserve">Southwestern Nigeria. </w:t>
      </w:r>
      <w:r>
        <w:rPr>
          <w:rFonts w:ascii="Times New Roman" w:hAnsi="Times New Roman" w:cs="Times New Roman"/>
          <w:sz w:val="24"/>
          <w:szCs w:val="24"/>
        </w:rPr>
        <w:t>M. A. Thesis. Department of English, Obafemi Awolowo</w:t>
      </w:r>
      <w:r>
        <w:rPr>
          <w:rFonts w:ascii="Times New Roman" w:hAnsi="Times New Roman" w:cs="Times New Roman"/>
          <w:sz w:val="24"/>
          <w:szCs w:val="24"/>
        </w:rPr>
        <w:tab/>
        <w:t>University, Ile-Ife.</w:t>
      </w:r>
    </w:p>
    <w:p w14:paraId="1681A316" w14:textId="77777777" w:rsidR="004139E1" w:rsidRDefault="004139E1">
      <w:pPr>
        <w:pStyle w:val="NoSpacing"/>
        <w:jc w:val="both"/>
        <w:rPr>
          <w:rFonts w:ascii="Times New Roman" w:hAnsi="Times New Roman" w:cs="Times New Roman"/>
          <w:sz w:val="24"/>
          <w:szCs w:val="24"/>
        </w:rPr>
      </w:pPr>
    </w:p>
    <w:p w14:paraId="065A4BC0"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 xml:space="preserve">Natural speech and </w:t>
      </w:r>
      <w:r>
        <w:rPr>
          <w:rFonts w:ascii="Times New Roman" w:hAnsi="Times New Roman" w:cs="Times New Roman"/>
          <w:i/>
          <w:sz w:val="24"/>
          <w:szCs w:val="24"/>
        </w:rPr>
        <w:t>intonation rule patterns of selected educated Nigerian</w:t>
      </w:r>
      <w:r>
        <w:rPr>
          <w:rFonts w:ascii="Times New Roman" w:hAnsi="Times New Roman" w:cs="Times New Roman"/>
          <w:i/>
          <w:sz w:val="24"/>
          <w:szCs w:val="24"/>
        </w:rPr>
        <w:tab/>
        <w:t xml:space="preserve">speakers of English. </w:t>
      </w:r>
      <w:r>
        <w:rPr>
          <w:rFonts w:ascii="Times New Roman" w:hAnsi="Times New Roman" w:cs="Times New Roman"/>
          <w:sz w:val="24"/>
          <w:szCs w:val="24"/>
        </w:rPr>
        <w:t>PhD Thesis. Department of English, University of Ibadan, Ibadan.</w:t>
      </w:r>
    </w:p>
    <w:p w14:paraId="5118C689" w14:textId="77777777" w:rsidR="004139E1" w:rsidRDefault="004139E1">
      <w:pPr>
        <w:pStyle w:val="NoSpacing"/>
        <w:jc w:val="both"/>
        <w:rPr>
          <w:rStyle w:val="Emphasis"/>
          <w:rFonts w:ascii="Times New Roman" w:hAnsi="Times New Roman" w:cs="Times New Roman"/>
          <w:sz w:val="24"/>
          <w:szCs w:val="24"/>
        </w:rPr>
      </w:pPr>
    </w:p>
    <w:p w14:paraId="3E85620B" w14:textId="77777777" w:rsidR="004139E1" w:rsidRDefault="00C53D0D">
      <w:pPr>
        <w:pStyle w:val="NoSpacing"/>
        <w:jc w:val="both"/>
        <w:rPr>
          <w:rFonts w:ascii="Times New Roman" w:hAnsi="Times New Roman" w:cs="Times New Roman"/>
          <w:sz w:val="24"/>
          <w:szCs w:val="24"/>
        </w:rPr>
      </w:pPr>
      <w:proofErr w:type="spellStart"/>
      <w:r>
        <w:rPr>
          <w:rStyle w:val="Emphasis"/>
          <w:rFonts w:ascii="Times New Roman" w:hAnsi="Times New Roman" w:cs="Times New Roman"/>
          <w:i w:val="0"/>
          <w:sz w:val="24"/>
          <w:szCs w:val="24"/>
        </w:rPr>
        <w:t>Atoye</w:t>
      </w:r>
      <w:proofErr w:type="spellEnd"/>
      <w:r>
        <w:rPr>
          <w:rStyle w:val="st"/>
          <w:rFonts w:ascii="Times New Roman" w:hAnsi="Times New Roman" w:cs="Times New Roman"/>
          <w:i/>
          <w:sz w:val="24"/>
          <w:szCs w:val="24"/>
        </w:rPr>
        <w:t>, R. O. (</w:t>
      </w:r>
      <w:r>
        <w:rPr>
          <w:rStyle w:val="Emphasis"/>
          <w:rFonts w:ascii="Times New Roman" w:hAnsi="Times New Roman" w:cs="Times New Roman"/>
          <w:i w:val="0"/>
          <w:sz w:val="24"/>
          <w:szCs w:val="24"/>
        </w:rPr>
        <w:t>2005)</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Non-native perception and interpretation of English </w:t>
      </w:r>
      <w:r>
        <w:rPr>
          <w:rStyle w:val="Emphasis"/>
          <w:rFonts w:ascii="Times New Roman" w:hAnsi="Times New Roman" w:cs="Times New Roman"/>
          <w:sz w:val="24"/>
          <w:szCs w:val="24"/>
        </w:rPr>
        <w:t>intonation</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w:t>
      </w:r>
      <w:r>
        <w:rPr>
          <w:rStyle w:val="st"/>
          <w:rFonts w:ascii="Times New Roman" w:hAnsi="Times New Roman" w:cs="Times New Roman"/>
          <w:i/>
          <w:sz w:val="24"/>
          <w:szCs w:val="24"/>
        </w:rPr>
        <w:t>Nordic</w:t>
      </w:r>
      <w:r>
        <w:rPr>
          <w:rStyle w:val="st"/>
          <w:rFonts w:ascii="Times New Roman" w:hAnsi="Times New Roman" w:cs="Times New Roman"/>
          <w:i/>
          <w:sz w:val="24"/>
          <w:szCs w:val="24"/>
        </w:rPr>
        <w:tab/>
        <w:t>Journal of African Studies</w:t>
      </w:r>
      <w:r>
        <w:rPr>
          <w:rStyle w:val="st"/>
          <w:rFonts w:ascii="Times New Roman" w:hAnsi="Times New Roman" w:cs="Times New Roman"/>
          <w:sz w:val="24"/>
          <w:szCs w:val="24"/>
        </w:rPr>
        <w:t>, 14(1), 26–42</w:t>
      </w:r>
      <w:r>
        <w:rPr>
          <w:rFonts w:ascii="Times New Roman" w:hAnsi="Times New Roman" w:cs="Times New Roman"/>
          <w:sz w:val="24"/>
          <w:szCs w:val="24"/>
        </w:rPr>
        <w:t xml:space="preserve"> </w:t>
      </w:r>
    </w:p>
    <w:p w14:paraId="1E0F0588" w14:textId="77777777" w:rsidR="004139E1" w:rsidRDefault="004139E1">
      <w:pPr>
        <w:pStyle w:val="NoSpacing"/>
        <w:jc w:val="both"/>
        <w:rPr>
          <w:rFonts w:ascii="Times New Roman" w:hAnsi="Times New Roman" w:cs="Times New Roman"/>
          <w:sz w:val="24"/>
          <w:szCs w:val="24"/>
        </w:rPr>
      </w:pPr>
    </w:p>
    <w:p w14:paraId="4153FB76"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w:t>
      </w:r>
    </w:p>
    <w:p w14:paraId="4DE2BB87" w14:textId="77777777" w:rsidR="004139E1" w:rsidRDefault="004139E1">
      <w:pPr>
        <w:pStyle w:val="NoSpacing"/>
        <w:jc w:val="both"/>
        <w:rPr>
          <w:rFonts w:ascii="Times New Roman" w:hAnsi="Times New Roman" w:cs="Times New Roman"/>
          <w:sz w:val="24"/>
          <w:szCs w:val="24"/>
        </w:rPr>
      </w:pPr>
    </w:p>
    <w:p w14:paraId="0E4105D5"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Coulthard</w:t>
      </w:r>
      <w:proofErr w:type="spellEnd"/>
      <w:r>
        <w:rPr>
          <w:rFonts w:ascii="Times New Roman" w:hAnsi="Times New Roman" w:cs="Times New Roman"/>
          <w:sz w:val="24"/>
          <w:szCs w:val="24"/>
        </w:rPr>
        <w:t xml:space="preserve">, M. (1985) </w:t>
      </w:r>
      <w:r>
        <w:rPr>
          <w:rFonts w:ascii="Times New Roman" w:hAnsi="Times New Roman" w:cs="Times New Roman"/>
          <w:i/>
          <w:sz w:val="24"/>
          <w:szCs w:val="24"/>
        </w:rPr>
        <w:t>Intonation: an introduction to discourse analys</w:t>
      </w:r>
      <w:r>
        <w:rPr>
          <w:rFonts w:ascii="Times New Roman" w:hAnsi="Times New Roman" w:cs="Times New Roman"/>
          <w:i/>
          <w:sz w:val="24"/>
          <w:szCs w:val="24"/>
        </w:rPr>
        <w:t xml:space="preserve">is. </w:t>
      </w:r>
      <w:r>
        <w:rPr>
          <w:rFonts w:ascii="Times New Roman" w:hAnsi="Times New Roman" w:cs="Times New Roman"/>
          <w:sz w:val="24"/>
          <w:szCs w:val="24"/>
        </w:rPr>
        <w:t>London: Longman.</w:t>
      </w:r>
    </w:p>
    <w:p w14:paraId="6F898369" w14:textId="77777777" w:rsidR="004139E1" w:rsidRDefault="004139E1">
      <w:pPr>
        <w:pStyle w:val="NoSpacing"/>
        <w:jc w:val="both"/>
        <w:rPr>
          <w:rFonts w:ascii="Times New Roman" w:hAnsi="Times New Roman" w:cs="Times New Roman"/>
          <w:sz w:val="24"/>
          <w:szCs w:val="24"/>
        </w:rPr>
      </w:pPr>
    </w:p>
    <w:p w14:paraId="0983347B"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t>University Press.</w:t>
      </w:r>
    </w:p>
    <w:p w14:paraId="0981045D" w14:textId="77777777" w:rsidR="004139E1" w:rsidRDefault="004139E1">
      <w:pPr>
        <w:pStyle w:val="NoSpacing"/>
        <w:jc w:val="both"/>
        <w:rPr>
          <w:rFonts w:ascii="Times New Roman" w:hAnsi="Times New Roman" w:cs="Times New Roman"/>
          <w:sz w:val="24"/>
          <w:szCs w:val="24"/>
        </w:rPr>
      </w:pPr>
    </w:p>
    <w:p w14:paraId="359127AC"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t>Ahmadu Bello University, Zaria.</w:t>
      </w:r>
    </w:p>
    <w:p w14:paraId="1CABBAB1" w14:textId="77777777" w:rsidR="004139E1" w:rsidRDefault="004139E1">
      <w:pPr>
        <w:pStyle w:val="NoSpacing"/>
        <w:jc w:val="both"/>
        <w:rPr>
          <w:rFonts w:ascii="Times New Roman" w:hAnsi="Times New Roman" w:cs="Times New Roman"/>
          <w:sz w:val="24"/>
          <w:szCs w:val="24"/>
        </w:rPr>
      </w:pPr>
    </w:p>
    <w:p w14:paraId="0325DD8A" w14:textId="77777777" w:rsidR="004139E1" w:rsidRDefault="00C53D0D">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Gu</w:t>
      </w:r>
      <w:r>
        <w:rPr>
          <w:rFonts w:ascii="Times New Roman" w:hAnsi="Times New Roman" w:cs="Times New Roman"/>
          <w:sz w:val="24"/>
          <w:szCs w:val="24"/>
        </w:rPr>
        <w:t>t,.</w:t>
      </w:r>
      <w:proofErr w:type="gramEnd"/>
      <w:r>
        <w:rPr>
          <w:rFonts w:ascii="Times New Roman" w:hAnsi="Times New Roman" w:cs="Times New Roman"/>
          <w:sz w:val="24"/>
          <w:szCs w:val="24"/>
        </w:rPr>
        <w:t xml:space="preserve"> U. (2005). Nigerian </w:t>
      </w:r>
      <w:proofErr w:type="gramStart"/>
      <w:r>
        <w:rPr>
          <w:rFonts w:ascii="Times New Roman" w:hAnsi="Times New Roman" w:cs="Times New Roman"/>
          <w:sz w:val="24"/>
          <w:szCs w:val="24"/>
        </w:rPr>
        <w:t>English  Prosody</w:t>
      </w:r>
      <w:proofErr w:type="gramEnd"/>
      <w:r>
        <w:rPr>
          <w:rFonts w:ascii="Times New Roman" w:hAnsi="Times New Roman" w:cs="Times New Roman"/>
          <w:sz w:val="24"/>
          <w:szCs w:val="24"/>
        </w:rPr>
        <w:t xml:space="preserve">. </w:t>
      </w:r>
      <w:r>
        <w:rPr>
          <w:rFonts w:ascii="Times New Roman" w:hAnsi="Times New Roman" w:cs="Times New Roman"/>
          <w:i/>
          <w:sz w:val="24"/>
          <w:szCs w:val="24"/>
        </w:rPr>
        <w:t>English world-wide, 26</w:t>
      </w:r>
      <w:r>
        <w:rPr>
          <w:rFonts w:ascii="Times New Roman" w:hAnsi="Times New Roman" w:cs="Times New Roman"/>
          <w:sz w:val="24"/>
          <w:szCs w:val="24"/>
        </w:rPr>
        <w:t>(2), 153-177.</w:t>
      </w:r>
    </w:p>
    <w:p w14:paraId="5EB0A450" w14:textId="77777777" w:rsidR="004139E1" w:rsidRDefault="004139E1">
      <w:pPr>
        <w:pStyle w:val="NoSpacing"/>
        <w:jc w:val="both"/>
        <w:rPr>
          <w:rFonts w:ascii="Times New Roman" w:hAnsi="Times New Roman" w:cs="Times New Roman"/>
          <w:sz w:val="24"/>
          <w:szCs w:val="24"/>
        </w:rPr>
      </w:pPr>
    </w:p>
    <w:p w14:paraId="399C7F36"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D. (2000). Patterns of Nigerian English Intonation. </w:t>
      </w:r>
      <w:r>
        <w:rPr>
          <w:rFonts w:ascii="Times New Roman" w:hAnsi="Times New Roman" w:cs="Times New Roman"/>
          <w:i/>
          <w:sz w:val="24"/>
          <w:szCs w:val="24"/>
        </w:rPr>
        <w:t xml:space="preserve">English </w:t>
      </w:r>
      <w:proofErr w:type="gramStart"/>
      <w:r>
        <w:rPr>
          <w:rFonts w:ascii="Times New Roman" w:hAnsi="Times New Roman" w:cs="Times New Roman"/>
          <w:i/>
          <w:sz w:val="24"/>
          <w:szCs w:val="24"/>
        </w:rPr>
        <w:t>World Wide</w:t>
      </w:r>
      <w:proofErr w:type="gramEnd"/>
      <w:r>
        <w:rPr>
          <w:rFonts w:ascii="Times New Roman" w:hAnsi="Times New Roman" w:cs="Times New Roman"/>
          <w:sz w:val="24"/>
          <w:szCs w:val="24"/>
        </w:rPr>
        <w:t>, 21(1), 63-80</w:t>
      </w:r>
    </w:p>
    <w:p w14:paraId="43C9058C" w14:textId="77777777" w:rsidR="004139E1" w:rsidRDefault="004139E1">
      <w:pPr>
        <w:pStyle w:val="NoSpacing"/>
        <w:jc w:val="both"/>
        <w:rPr>
          <w:rFonts w:ascii="Times New Roman" w:hAnsi="Times New Roman" w:cs="Times New Roman"/>
          <w:sz w:val="24"/>
          <w:szCs w:val="24"/>
        </w:rPr>
      </w:pPr>
    </w:p>
    <w:p w14:paraId="11E697E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Lagos: Longman</w:t>
      </w:r>
    </w:p>
    <w:p w14:paraId="565EAD7E" w14:textId="77777777" w:rsidR="004139E1" w:rsidRDefault="004139E1">
      <w:pPr>
        <w:pStyle w:val="NoSpacing"/>
        <w:jc w:val="both"/>
        <w:rPr>
          <w:rFonts w:ascii="Times New Roman" w:hAnsi="Times New Roman" w:cs="Times New Roman"/>
          <w:sz w:val="24"/>
          <w:szCs w:val="24"/>
        </w:rPr>
      </w:pPr>
    </w:p>
    <w:p w14:paraId="0932B18A"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W.</w:t>
      </w:r>
      <w:r>
        <w:rPr>
          <w:rFonts w:ascii="Times New Roman" w:hAnsi="Times New Roman" w:cs="Times New Roman"/>
          <w:sz w:val="24"/>
          <w:szCs w:val="24"/>
        </w:rPr>
        <w:t xml:space="preserve">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14:paraId="78D1AAC9" w14:textId="77777777" w:rsidR="004139E1" w:rsidRDefault="004139E1">
      <w:pPr>
        <w:pStyle w:val="NoSpacing"/>
        <w:jc w:val="both"/>
        <w:rPr>
          <w:rFonts w:ascii="Times New Roman" w:hAnsi="Times New Roman" w:cs="Times New Roman"/>
          <w:sz w:val="24"/>
          <w:szCs w:val="24"/>
        </w:rPr>
      </w:pPr>
    </w:p>
    <w:p w14:paraId="1E91CEF1"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McNeill, D., Quek, F., McCullough, K.-E., Duncan, S., </w:t>
      </w:r>
      <w:proofErr w:type="spellStart"/>
      <w:r>
        <w:rPr>
          <w:rFonts w:ascii="Times New Roman" w:hAnsi="Times New Roman" w:cs="Times New Roman"/>
          <w:sz w:val="24"/>
          <w:szCs w:val="24"/>
        </w:rPr>
        <w:t>Furuyama</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Bryll</w:t>
      </w:r>
      <w:proofErr w:type="spellEnd"/>
      <w:r>
        <w:rPr>
          <w:rFonts w:ascii="Times New Roman" w:hAnsi="Times New Roman" w:cs="Times New Roman"/>
          <w:sz w:val="24"/>
          <w:szCs w:val="24"/>
        </w:rPr>
        <w:t>, R., Ma, X.-F. &amp;</w:t>
      </w:r>
      <w:r>
        <w:rPr>
          <w:rFonts w:ascii="Times New Roman" w:hAnsi="Times New Roman" w:cs="Times New Roman"/>
          <w:sz w:val="24"/>
          <w:szCs w:val="24"/>
        </w:rPr>
        <w:tab/>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14:paraId="5ABCB902" w14:textId="77777777" w:rsidR="004139E1" w:rsidRDefault="004139E1">
      <w:pPr>
        <w:pStyle w:val="NoSpacing"/>
        <w:jc w:val="both"/>
        <w:rPr>
          <w:rFonts w:ascii="Times New Roman" w:hAnsi="Times New Roman" w:cs="Times New Roman"/>
          <w:sz w:val="24"/>
          <w:szCs w:val="24"/>
        </w:rPr>
      </w:pPr>
    </w:p>
    <w:p w14:paraId="15126A2E"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t xml:space="preserve">advertisements on radio and television in Nigeria. </w:t>
      </w:r>
      <w:r>
        <w:rPr>
          <w:rFonts w:ascii="Times New Roman" w:hAnsi="Times New Roman" w:cs="Times New Roman"/>
          <w:sz w:val="24"/>
          <w:szCs w:val="24"/>
        </w:rPr>
        <w:t>PhD Thesis. Department of English,</w:t>
      </w:r>
      <w:r>
        <w:rPr>
          <w:rFonts w:ascii="Times New Roman" w:hAnsi="Times New Roman" w:cs="Times New Roman"/>
          <w:sz w:val="24"/>
          <w:szCs w:val="24"/>
        </w:rPr>
        <w:tab/>
        <w:t>University of Ibadan, Ibadan.</w:t>
      </w:r>
    </w:p>
    <w:p w14:paraId="7E802220" w14:textId="77777777" w:rsidR="004139E1" w:rsidRDefault="004139E1">
      <w:pPr>
        <w:pStyle w:val="NoSpacing"/>
        <w:jc w:val="both"/>
        <w:rPr>
          <w:rFonts w:ascii="Times New Roman" w:hAnsi="Times New Roman" w:cs="Times New Roman"/>
          <w:sz w:val="24"/>
          <w:szCs w:val="24"/>
        </w:rPr>
      </w:pPr>
    </w:p>
    <w:p w14:paraId="14AA2767"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Ranalli</w:t>
      </w:r>
      <w:proofErr w:type="spellEnd"/>
      <w:r>
        <w:rPr>
          <w:rFonts w:ascii="Times New Roman" w:hAnsi="Times New Roman" w:cs="Times New Roman"/>
          <w:sz w:val="24"/>
          <w:szCs w:val="24"/>
        </w:rPr>
        <w:t xml:space="preserve">, J. M. (2002). </w:t>
      </w:r>
      <w:r>
        <w:rPr>
          <w:rFonts w:ascii="Times New Roman" w:hAnsi="Times New Roman" w:cs="Times New Roman"/>
          <w:i/>
          <w:sz w:val="24"/>
          <w:szCs w:val="24"/>
        </w:rPr>
        <w:t xml:space="preserve">Discourse intonation: to teach or not to </w:t>
      </w:r>
      <w:proofErr w:type="gramStart"/>
      <w:r>
        <w:rPr>
          <w:rFonts w:ascii="Times New Roman" w:hAnsi="Times New Roman" w:cs="Times New Roman"/>
          <w:i/>
          <w:sz w:val="24"/>
          <w:szCs w:val="24"/>
        </w:rPr>
        <w:t>teach?.</w:t>
      </w:r>
      <w:proofErr w:type="gramEnd"/>
      <w:r>
        <w:rPr>
          <w:rFonts w:ascii="Times New Roman" w:hAnsi="Times New Roman" w:cs="Times New Roman"/>
          <w:i/>
          <w:sz w:val="24"/>
          <w:szCs w:val="24"/>
        </w:rPr>
        <w:t xml:space="preserve"> </w:t>
      </w:r>
      <w:r>
        <w:rPr>
          <w:rFonts w:ascii="Times New Roman" w:hAnsi="Times New Roman" w:cs="Times New Roman"/>
          <w:sz w:val="24"/>
          <w:szCs w:val="24"/>
        </w:rPr>
        <w:t>University of Birmingham.</w:t>
      </w:r>
      <w:r>
        <w:rPr>
          <w:rFonts w:ascii="Times New Roman" w:hAnsi="Times New Roman" w:cs="Times New Roman"/>
          <w:sz w:val="24"/>
          <w:szCs w:val="24"/>
        </w:rPr>
        <w:tab/>
        <w:t>Retrieved from http://www.cels.bham.ac.uk/resources/essays/Rannali4.pdf</w:t>
      </w:r>
    </w:p>
    <w:p w14:paraId="5EB664F8" w14:textId="77777777" w:rsidR="004139E1" w:rsidRDefault="004139E1">
      <w:pPr>
        <w:pStyle w:val="NoSpacing"/>
        <w:jc w:val="both"/>
        <w:rPr>
          <w:rFonts w:ascii="Times New Roman" w:hAnsi="Times New Roman" w:cs="Times New Roman"/>
          <w:sz w:val="24"/>
          <w:szCs w:val="24"/>
        </w:rPr>
      </w:pPr>
    </w:p>
    <w:p w14:paraId="164C7409"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Taiwo, R. (2009). Polysemous usage in domesticated English varieties: A case study of the verb</w:t>
      </w:r>
      <w:r>
        <w:rPr>
          <w:rFonts w:ascii="Times New Roman" w:hAnsi="Times New Roman" w:cs="Times New Roman"/>
          <w:sz w:val="24"/>
          <w:szCs w:val="24"/>
        </w:rPr>
        <w:tab/>
        <w:t xml:space="preserve">see in Nigerian </w:t>
      </w:r>
      <w:proofErr w:type="spellStart"/>
      <w:r>
        <w:rPr>
          <w:rFonts w:ascii="Times New Roman" w:hAnsi="Times New Roman" w:cs="Times New Roman"/>
          <w:sz w:val="24"/>
          <w:szCs w:val="24"/>
        </w:rPr>
        <w:t>English.Samara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AltLinguo</w:t>
      </w:r>
      <w:proofErr w:type="spellEnd"/>
      <w:r>
        <w:rPr>
          <w:rFonts w:ascii="Times New Roman" w:hAnsi="Times New Roman" w:cs="Times New Roman"/>
          <w:sz w:val="24"/>
          <w:szCs w:val="24"/>
        </w:rPr>
        <w:t xml:space="preserve"> </w:t>
      </w:r>
      <w:r>
        <w:rPr>
          <w:rFonts w:ascii="Times New Roman" w:hAnsi="Times New Roman" w:cs="Times New Roman"/>
          <w:sz w:val="24"/>
          <w:szCs w:val="24"/>
        </w:rPr>
        <w:t>E-Journal #4. Available online at:</w:t>
      </w:r>
      <w:r>
        <w:rPr>
          <w:rFonts w:ascii="Times New Roman" w:hAnsi="Times New Roman" w:cs="Times New Roman"/>
          <w:sz w:val="24"/>
          <w:szCs w:val="24"/>
        </w:rPr>
        <w:tab/>
        <w:t>http://samaraaltlinguo.narod.ru/ejournal/409_rtaiwo.pdf</w:t>
      </w:r>
    </w:p>
    <w:p w14:paraId="0E0C2D01" w14:textId="77777777" w:rsidR="004139E1" w:rsidRDefault="004139E1">
      <w:pPr>
        <w:pStyle w:val="NoSpacing"/>
        <w:jc w:val="both"/>
        <w:rPr>
          <w:rFonts w:ascii="Times New Roman" w:hAnsi="Times New Roman" w:cs="Times New Roman"/>
          <w:sz w:val="24"/>
          <w:szCs w:val="24"/>
        </w:rPr>
      </w:pPr>
    </w:p>
    <w:p w14:paraId="04272787"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(Doctoral dissertation), University of</w:t>
      </w:r>
      <w:r>
        <w:rPr>
          <w:rFonts w:ascii="Times New Roman" w:hAnsi="Times New Roman" w:cs="Times New Roman"/>
          <w:sz w:val="24"/>
          <w:szCs w:val="24"/>
        </w:rPr>
        <w:tab/>
      </w:r>
      <w:proofErr w:type="spellStart"/>
      <w:r>
        <w:rPr>
          <w:rFonts w:ascii="Times New Roman" w:hAnsi="Times New Roman" w:cs="Times New Roman"/>
          <w:sz w:val="24"/>
          <w:szCs w:val="24"/>
        </w:rPr>
        <w:t>Uyo</w:t>
      </w:r>
      <w:proofErr w:type="spellEnd"/>
      <w:r>
        <w:rPr>
          <w:rFonts w:ascii="Times New Roman" w:hAnsi="Times New Roman" w:cs="Times New Roman"/>
          <w:sz w:val="24"/>
          <w:szCs w:val="24"/>
        </w:rPr>
        <w:t>, Nigeria.</w:t>
      </w:r>
    </w:p>
    <w:p w14:paraId="6D24274E"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Ufomata</w:t>
      </w:r>
      <w:proofErr w:type="spellEnd"/>
      <w:r>
        <w:rPr>
          <w:rFonts w:ascii="Times New Roman" w:hAnsi="Times New Roman" w:cs="Times New Roman"/>
          <w:sz w:val="24"/>
          <w:szCs w:val="24"/>
        </w:rPr>
        <w:t>, T. (1996). S</w:t>
      </w:r>
      <w:r>
        <w:rPr>
          <w:rFonts w:ascii="Times New Roman" w:hAnsi="Times New Roman" w:cs="Times New Roman"/>
          <w:i/>
          <w:sz w:val="24"/>
          <w:szCs w:val="24"/>
        </w:rPr>
        <w:t xml:space="preserve">etting Priorities in </w:t>
      </w:r>
      <w:r>
        <w:rPr>
          <w:rFonts w:ascii="Times New Roman" w:hAnsi="Times New Roman" w:cs="Times New Roman"/>
          <w:i/>
          <w:sz w:val="24"/>
          <w:szCs w:val="24"/>
        </w:rPr>
        <w:t>Teaching English Pronunciation in ESL Contexts.</w:t>
      </w:r>
      <w:r>
        <w:rPr>
          <w:rFonts w:ascii="Times New Roman" w:hAnsi="Times New Roman" w:cs="Times New Roman"/>
          <w:sz w:val="24"/>
          <w:szCs w:val="24"/>
        </w:rPr>
        <w:tab/>
      </w:r>
      <w:hyperlink r:id="rId27" w:history="1">
        <w:r>
          <w:rPr>
            <w:rStyle w:val="Hyperlink"/>
            <w:rFonts w:ascii="Times New Roman" w:hAnsi="Times New Roman" w:cs="Times New Roman"/>
            <w:color w:val="auto"/>
            <w:sz w:val="24"/>
            <w:szCs w:val="24"/>
          </w:rPr>
          <w:t>http://pitch.phon.ucl.ac.uk/home/shl9/ufoma</w:t>
        </w:r>
      </w:hyperlink>
      <w:r>
        <w:rPr>
          <w:rFonts w:ascii="Times New Roman" w:hAnsi="Times New Roman" w:cs="Times New Roman"/>
          <w:sz w:val="24"/>
          <w:szCs w:val="24"/>
        </w:rPr>
        <w:t xml:space="preserve"> ta/</w:t>
      </w:r>
      <w:proofErr w:type="spellStart"/>
      <w:r>
        <w:rPr>
          <w:rFonts w:ascii="Times New Roman" w:hAnsi="Times New Roman" w:cs="Times New Roman"/>
          <w:sz w:val="24"/>
          <w:szCs w:val="24"/>
        </w:rPr>
        <w:t>titiE</w:t>
      </w:r>
      <w:proofErr w:type="spellEnd"/>
    </w:p>
    <w:p w14:paraId="1F04BD32" w14:textId="77777777" w:rsidR="004139E1" w:rsidRDefault="004139E1">
      <w:pPr>
        <w:pStyle w:val="NoSpacing"/>
        <w:jc w:val="both"/>
        <w:rPr>
          <w:rFonts w:ascii="Times New Roman" w:hAnsi="Times New Roman" w:cs="Times New Roman"/>
          <w:b/>
          <w:sz w:val="24"/>
          <w:szCs w:val="24"/>
        </w:rPr>
      </w:pPr>
    </w:p>
    <w:p w14:paraId="13DAE356" w14:textId="77777777" w:rsidR="004139E1" w:rsidRDefault="004139E1">
      <w:pPr>
        <w:spacing w:line="240" w:lineRule="auto"/>
        <w:jc w:val="both"/>
        <w:rPr>
          <w:rFonts w:ascii="Times New Roman" w:hAnsi="Times New Roman" w:cs="Times New Roman"/>
          <w:sz w:val="24"/>
          <w:szCs w:val="24"/>
        </w:rPr>
      </w:pPr>
    </w:p>
    <w:sectPr w:rsidR="004139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E27B5" w14:textId="77777777" w:rsidR="00C53D0D" w:rsidRDefault="00C53D0D">
      <w:pPr>
        <w:spacing w:line="240" w:lineRule="auto"/>
      </w:pPr>
      <w:r>
        <w:separator/>
      </w:r>
    </w:p>
  </w:endnote>
  <w:endnote w:type="continuationSeparator" w:id="0">
    <w:p w14:paraId="60C7C4DB" w14:textId="77777777" w:rsidR="00C53D0D" w:rsidRDefault="00C53D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default"/>
    <w:sig w:usb0="E1002EFF" w:usb1="C000605B" w:usb2="00000029" w:usb3="00000000" w:csb0="200101FF" w:csb1="20280000"/>
  </w:font>
  <w:font w:name="SimSun">
    <w:altName w:val="宋体"/>
    <w:panose1 w:val="02010600030101010101"/>
    <w:charset w:val="86"/>
    <w:family w:val="auto"/>
    <w:pitch w:val="default"/>
    <w:sig w:usb0="00000003" w:usb1="288F0000" w:usb2="0000000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FA0B" w14:textId="77777777" w:rsidR="00C53D0D" w:rsidRDefault="00C53D0D">
      <w:pPr>
        <w:spacing w:after="0" w:line="240" w:lineRule="auto"/>
      </w:pPr>
      <w:r>
        <w:separator/>
      </w:r>
    </w:p>
  </w:footnote>
  <w:footnote w:type="continuationSeparator" w:id="0">
    <w:p w14:paraId="4D79FB85" w14:textId="77777777" w:rsidR="00C53D0D" w:rsidRDefault="00C53D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9633B9"/>
    <w:multiLevelType w:val="multilevel"/>
    <w:tmpl w:val="379633B9"/>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6C4226"/>
    <w:multiLevelType w:val="multilevel"/>
    <w:tmpl w:val="6F6C42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rC0sDA2MTMyNbKwNDBS0lEKTi0uzszPAykwrAUARzdDjiwAAAA="/>
  </w:docVars>
  <w:rsids>
    <w:rsidRoot w:val="005268F1"/>
    <w:rsid w:val="000A5726"/>
    <w:rsid w:val="000C6708"/>
    <w:rsid w:val="000D22AB"/>
    <w:rsid w:val="000D5CBD"/>
    <w:rsid w:val="00112816"/>
    <w:rsid w:val="0012415C"/>
    <w:rsid w:val="00125BCE"/>
    <w:rsid w:val="00173680"/>
    <w:rsid w:val="0018494A"/>
    <w:rsid w:val="001A2667"/>
    <w:rsid w:val="001D7346"/>
    <w:rsid w:val="0022269F"/>
    <w:rsid w:val="00224D5A"/>
    <w:rsid w:val="00235A7B"/>
    <w:rsid w:val="00247B43"/>
    <w:rsid w:val="00250635"/>
    <w:rsid w:val="00296975"/>
    <w:rsid w:val="002B2188"/>
    <w:rsid w:val="002B5E44"/>
    <w:rsid w:val="00316177"/>
    <w:rsid w:val="00337BD8"/>
    <w:rsid w:val="00367BF3"/>
    <w:rsid w:val="003870E8"/>
    <w:rsid w:val="003D090C"/>
    <w:rsid w:val="003F5106"/>
    <w:rsid w:val="004139E1"/>
    <w:rsid w:val="0044332E"/>
    <w:rsid w:val="00446746"/>
    <w:rsid w:val="0047223D"/>
    <w:rsid w:val="00475F9B"/>
    <w:rsid w:val="00490956"/>
    <w:rsid w:val="00490BD5"/>
    <w:rsid w:val="004D071D"/>
    <w:rsid w:val="005268F1"/>
    <w:rsid w:val="00532B69"/>
    <w:rsid w:val="005405ED"/>
    <w:rsid w:val="0054672B"/>
    <w:rsid w:val="005634A5"/>
    <w:rsid w:val="00583D82"/>
    <w:rsid w:val="005A6D7A"/>
    <w:rsid w:val="005C2502"/>
    <w:rsid w:val="005C7145"/>
    <w:rsid w:val="00603534"/>
    <w:rsid w:val="00663266"/>
    <w:rsid w:val="00672862"/>
    <w:rsid w:val="00674323"/>
    <w:rsid w:val="0071499C"/>
    <w:rsid w:val="0073517D"/>
    <w:rsid w:val="0076643C"/>
    <w:rsid w:val="00792CB9"/>
    <w:rsid w:val="007B49E1"/>
    <w:rsid w:val="007C558D"/>
    <w:rsid w:val="007D0887"/>
    <w:rsid w:val="007D09C8"/>
    <w:rsid w:val="007E010B"/>
    <w:rsid w:val="007E2E36"/>
    <w:rsid w:val="008812D0"/>
    <w:rsid w:val="00887E51"/>
    <w:rsid w:val="008B5BD4"/>
    <w:rsid w:val="008E10AB"/>
    <w:rsid w:val="008E5EEB"/>
    <w:rsid w:val="00936EF2"/>
    <w:rsid w:val="009763DA"/>
    <w:rsid w:val="009A1E35"/>
    <w:rsid w:val="009C269C"/>
    <w:rsid w:val="009F5A22"/>
    <w:rsid w:val="00A24D75"/>
    <w:rsid w:val="00A4484F"/>
    <w:rsid w:val="00A87190"/>
    <w:rsid w:val="00A95257"/>
    <w:rsid w:val="00AD75E7"/>
    <w:rsid w:val="00AF3EE7"/>
    <w:rsid w:val="00B63C3E"/>
    <w:rsid w:val="00B77E95"/>
    <w:rsid w:val="00BA1052"/>
    <w:rsid w:val="00BA295D"/>
    <w:rsid w:val="00BA7693"/>
    <w:rsid w:val="00BD64D5"/>
    <w:rsid w:val="00C16845"/>
    <w:rsid w:val="00C42A95"/>
    <w:rsid w:val="00C53D0D"/>
    <w:rsid w:val="00C603F7"/>
    <w:rsid w:val="00C72FE6"/>
    <w:rsid w:val="00C84ACC"/>
    <w:rsid w:val="00C8662E"/>
    <w:rsid w:val="00CA0CB8"/>
    <w:rsid w:val="00D11532"/>
    <w:rsid w:val="00D230F1"/>
    <w:rsid w:val="00D44976"/>
    <w:rsid w:val="00D4698C"/>
    <w:rsid w:val="00D8151F"/>
    <w:rsid w:val="00E52BF9"/>
    <w:rsid w:val="00E53EE8"/>
    <w:rsid w:val="00F06C74"/>
    <w:rsid w:val="00F62368"/>
    <w:rsid w:val="00F63EDA"/>
    <w:rsid w:val="00FB4B99"/>
    <w:rsid w:val="00FC46A7"/>
    <w:rsid w:val="00FD1A8A"/>
    <w:rsid w:val="29DC67D5"/>
    <w:rsid w:val="32E76B98"/>
    <w:rsid w:val="35432E10"/>
    <w:rsid w:val="71CE6576"/>
    <w:rsid w:val="7AB67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5A7B71E"/>
  <w15:docId w15:val="{8DF1AA26-DBFD-7942-BB70-9C816151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u w:val="single"/>
    </w:rPr>
  </w:style>
  <w:style w:type="paragraph" w:styleId="NoSpacing">
    <w:name w:val="No Spacing"/>
    <w:uiPriority w:val="1"/>
    <w:qFormat/>
    <w:rPr>
      <w:sz w:val="22"/>
      <w:szCs w:val="22"/>
      <w:lang w:val="en-GB" w:eastAsia="en-US"/>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st">
    <w:name w:val="st"/>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pitch.phon.ucl.ac.uk/home/shl9/uf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4503</Words>
  <Characters>25672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DUAH REGINALD AKUOKO</cp:lastModifiedBy>
  <cp:revision>2</cp:revision>
  <dcterms:created xsi:type="dcterms:W3CDTF">2022-03-17T21:58:00Z</dcterms:created>
  <dcterms:modified xsi:type="dcterms:W3CDTF">2022-03-17T21:58:00Z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