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696575" w:rsidRDefault="00AF0F9D" w:rsidP="0069657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r w:rsidRPr="00696575">
        <w:rPr>
          <w:rFonts w:ascii="Times New Roman" w:eastAsiaTheme="majorEastAsia" w:hAnsi="Times New Roman" w:cs="Times New Roman"/>
          <w:b/>
          <w:bCs/>
          <w:sz w:val="32"/>
          <w:szCs w:val="32"/>
        </w:rPr>
        <w:t>I</w:t>
      </w:r>
      <w:r w:rsidR="00696575" w:rsidRPr="00696575">
        <w:rPr>
          <w:rFonts w:ascii="Times New Roman" w:eastAsiaTheme="majorEastAsia" w:hAnsi="Times New Roman" w:cs="Times New Roman"/>
          <w:b/>
          <w:bCs/>
          <w:sz w:val="32"/>
          <w:szCs w:val="32"/>
        </w:rPr>
        <w:t xml:space="preserve">NTERTEXTUALITY IN ETHIOPIAN </w:t>
      </w:r>
      <w:r w:rsidR="00696575" w:rsidRPr="003E0B79">
        <w:rPr>
          <w:rFonts w:ascii="Times New Roman" w:eastAsiaTheme="majorEastAsia" w:hAnsi="Times New Roman" w:cs="Times New Roman"/>
          <w:b/>
          <w:bCs/>
          <w:sz w:val="32"/>
          <w:szCs w:val="32"/>
          <w:shd w:val="clear" w:color="auto" w:fill="FFFF00"/>
        </w:rPr>
        <w:t>G</w:t>
      </w:r>
      <w:r w:rsidR="002F4C10" w:rsidRPr="003E0B79">
        <w:rPr>
          <w:rFonts w:ascii="Times New Roman" w:eastAsia="Ethiopic Unicode" w:hAnsi="Times New Roman" w:cs="Times New Roman"/>
          <w:b/>
          <w:bCs/>
          <w:sz w:val="32"/>
          <w:szCs w:val="32"/>
          <w:shd w:val="clear" w:color="auto" w:fill="FFFF00"/>
        </w:rPr>
        <w:t>Ǝ’Ǝ</w:t>
      </w:r>
      <w:r w:rsidR="00696575" w:rsidRPr="003E0B79">
        <w:rPr>
          <w:rFonts w:ascii="Times New Roman" w:eastAsiaTheme="majorEastAsia" w:hAnsi="Times New Roman" w:cs="Times New Roman"/>
          <w:b/>
          <w:bCs/>
          <w:sz w:val="32"/>
          <w:szCs w:val="32"/>
          <w:shd w:val="clear" w:color="auto" w:fill="FFFF00"/>
        </w:rPr>
        <w:t>Z</w:t>
      </w:r>
      <w:r w:rsidR="00696575" w:rsidRPr="00696575">
        <w:rPr>
          <w:rFonts w:ascii="Times New Roman" w:eastAsiaTheme="majorEastAsia" w:hAnsi="Times New Roman" w:cs="Times New Roman"/>
          <w:b/>
          <w:bCs/>
          <w:sz w:val="32"/>
          <w:szCs w:val="32"/>
        </w:rPr>
        <w:t>.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06CAC" w:rsidRPr="0082657A" w:rsidRDefault="00696575" w:rsidP="00694CEE">
      <w:pPr>
        <w:keepNext/>
        <w:keepLines/>
        <w:suppressLineNumbers/>
        <w:spacing w:after="120" w:line="360" w:lineRule="auto"/>
        <w:jc w:val="center"/>
        <w:outlineLvl w:val="0"/>
        <w:rPr>
          <w:rFonts w:ascii="Times New Roman" w:eastAsiaTheme="majorEastAsia" w:hAnsi="Times New Roman" w:cs="Times New Roman"/>
          <w:bCs/>
          <w:i/>
          <w:sz w:val="24"/>
          <w:szCs w:val="24"/>
        </w:rPr>
      </w:pPr>
      <w:r w:rsidRPr="0082657A">
        <w:rPr>
          <w:rFonts w:ascii="Times New Roman" w:eastAsiaTheme="majorEastAsia" w:hAnsi="Times New Roman" w:cs="Times New Roman"/>
          <w:bCs/>
          <w:i/>
          <w:sz w:val="24"/>
          <w:szCs w:val="24"/>
        </w:rPr>
        <w:t xml:space="preserve">Yonas Yilma Menda </w:t>
      </w:r>
    </w:p>
    <w:p w:rsidR="00AF0F9D" w:rsidRPr="00696575" w:rsidRDefault="00AF0F9D" w:rsidP="00694CEE">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694CEE">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was written during the reign of the King by his own three chroniclers (Hawarya Krəstos, Zäwäldä Maryam and Sinoda), while the Hagiography of </w:t>
      </w:r>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r w:rsidRPr="00696575">
        <w:rPr>
          <w:rFonts w:ascii="Times New Roman" w:hAnsi="Times New Roman" w:cs="Times New Roman"/>
        </w:rPr>
        <w:t xml:space="preserve"> Iyasu I written two years after the death of the King by aza</w:t>
      </w:r>
      <w:r w:rsidRPr="00696575">
        <w:rPr>
          <w:rFonts w:ascii="Times New Roman" w:eastAsia="Times New Roman" w:hAnsi="Times New Roman" w:cs="Times New Roman"/>
          <w:bCs/>
          <w:iCs/>
        </w:rPr>
        <w:t>ž</w:t>
      </w:r>
      <w:r w:rsidRPr="00696575">
        <w:rPr>
          <w:rFonts w:ascii="Times New Roman" w:hAnsi="Times New Roman" w:cs="Times New Roman"/>
        </w:rPr>
        <w:t xml:space="preserve"> Sinoda. </w:t>
      </w:r>
    </w:p>
    <w:p w:rsidR="00AF0F9D" w:rsidRPr="00696575" w:rsidRDefault="00AF0F9D" w:rsidP="003E0B79">
      <w:pPr>
        <w:shd w:val="clear" w:color="auto" w:fill="92D050"/>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694CEE">
      <w:pPr>
        <w:spacing w:line="360" w:lineRule="auto"/>
        <w:ind w:firstLine="720"/>
        <w:jc w:val="both"/>
        <w:rPr>
          <w:rFonts w:ascii="Times New Roman" w:hAnsi="Times New Roman" w:cs="Times New Roman"/>
        </w:rPr>
      </w:pPr>
      <w:r w:rsidRPr="005F6C3F">
        <w:rPr>
          <w:rFonts w:ascii="Times New Roman" w:hAnsi="Times New Roman" w:cs="Times New Roman"/>
          <w:shd w:val="clear" w:color="auto" w:fill="FFFF00"/>
        </w:rPr>
        <w:t xml:space="preserve">Although both </w:t>
      </w:r>
      <w:r w:rsidR="00CB4707" w:rsidRPr="005F6C3F">
        <w:rPr>
          <w:rFonts w:ascii="Times New Roman" w:hAnsi="Times New Roman" w:cs="Times New Roman"/>
          <w:shd w:val="clear" w:color="auto" w:fill="FFFF00"/>
        </w:rPr>
        <w:t>hagiography</w:t>
      </w:r>
      <w:r w:rsidRPr="005F6C3F">
        <w:rPr>
          <w:rFonts w:ascii="Times New Roman" w:hAnsi="Times New Roman" w:cs="Times New Roman"/>
          <w:shd w:val="clear" w:color="auto" w:fill="FFFF00"/>
        </w:rPr>
        <w:t xml:space="preserve"> and </w:t>
      </w:r>
      <w:r w:rsidR="00CB4707" w:rsidRPr="005F6C3F">
        <w:rPr>
          <w:rFonts w:ascii="Times New Roman" w:hAnsi="Times New Roman" w:cs="Times New Roman"/>
          <w:shd w:val="clear" w:color="auto" w:fill="FFFF00"/>
        </w:rPr>
        <w:t xml:space="preserve">chronicle of </w:t>
      </w:r>
      <w:r w:rsidR="00CB4707" w:rsidRPr="005F6C3F">
        <w:rPr>
          <w:rFonts w:ascii="Times New Roman" w:hAnsi="Times New Roman" w:cs="Times New Roman"/>
          <w:i/>
          <w:shd w:val="clear" w:color="auto" w:fill="FFFF00"/>
        </w:rPr>
        <w:t>a</w:t>
      </w:r>
      <w:r w:rsidR="0082657A" w:rsidRPr="005F6C3F">
        <w:rPr>
          <w:rFonts w:ascii="Times New Roman" w:hAnsi="Times New Roman" w:cs="Times New Roman"/>
          <w:i/>
          <w:shd w:val="clear" w:color="auto" w:fill="FFFF00"/>
        </w:rPr>
        <w:t>ṣ</w:t>
      </w:r>
      <w:r w:rsidR="00CB4707" w:rsidRPr="005F6C3F">
        <w:rPr>
          <w:rFonts w:ascii="Times New Roman" w:hAnsi="Times New Roman" w:cs="Times New Roman"/>
          <w:i/>
          <w:shd w:val="clear" w:color="auto" w:fill="FFFF00"/>
        </w:rPr>
        <w:t>e</w:t>
      </w:r>
      <w:r w:rsidR="00CB4707" w:rsidRPr="005F6C3F">
        <w:rPr>
          <w:rFonts w:ascii="Times New Roman" w:hAnsi="Times New Roman" w:cs="Times New Roman"/>
          <w:shd w:val="clear" w:color="auto" w:fill="FFFF00"/>
        </w:rPr>
        <w:t xml:space="preserve"> Iyasu I</w:t>
      </w:r>
      <w:r w:rsidRPr="005F6C3F">
        <w:rPr>
          <w:rFonts w:ascii="Times New Roman" w:hAnsi="Times New Roman" w:cs="Times New Roman"/>
          <w:shd w:val="clear" w:color="auto" w:fill="FFFF00"/>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 xml:space="preserve">e </w:t>
      </w:r>
      <w:r w:rsidR="00AF0F9D" w:rsidRPr="00696575">
        <w:rPr>
          <w:rFonts w:ascii="Times New Roman" w:hAnsi="Times New Roman" w:cs="Times New Roman"/>
        </w:rPr>
        <w:t xml:space="preserve">Iyasu I, the Hagiography of </w:t>
      </w:r>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 xml:space="preserve">e </w:t>
      </w:r>
      <w:r w:rsidR="00AF0F9D" w:rsidRPr="00696575">
        <w:rPr>
          <w:rFonts w:ascii="Times New Roman" w:hAnsi="Times New Roman" w:cs="Times New Roman"/>
        </w:rPr>
        <w:t>Iyasu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Gǝʿǝz literature.</w:t>
      </w:r>
    </w:p>
    <w:p w:rsidR="0004260B" w:rsidRPr="00696575" w:rsidRDefault="00AF0F9D" w:rsidP="00694CEE">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r w:rsidRPr="003E0B79">
        <w:rPr>
          <w:rFonts w:ascii="Times New Roman" w:hAnsi="Times New Roman" w:cs="Times New Roman"/>
          <w:sz w:val="24"/>
          <w:szCs w:val="24"/>
          <w:shd w:val="clear" w:color="auto" w:fill="FFFF00"/>
        </w:rPr>
        <w:t>Gǝʿ</w:t>
      </w:r>
      <w:r w:rsidR="00696575" w:rsidRPr="003E0B79">
        <w:rPr>
          <w:rFonts w:ascii="Times New Roman" w:hAnsi="Times New Roman" w:cs="Times New Roman"/>
          <w:sz w:val="24"/>
          <w:szCs w:val="24"/>
          <w:shd w:val="clear" w:color="auto" w:fill="FFFF00"/>
        </w:rPr>
        <w:t>ǝz</w:t>
      </w:r>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Aṣe</w:t>
      </w:r>
      <w:r w:rsidRPr="00696575">
        <w:rPr>
          <w:rFonts w:ascii="Times New Roman" w:hAnsi="Times New Roman" w:cs="Times New Roman"/>
          <w:sz w:val="24"/>
          <w:szCs w:val="24"/>
        </w:rPr>
        <w:t xml:space="preserve"> Iyasu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CB4707" w:rsidRDefault="00CB4707" w:rsidP="00694CEE">
      <w:pPr>
        <w:spacing w:line="360" w:lineRule="auto"/>
        <w:rPr>
          <w:rFonts w:ascii="Times New Roman" w:hAnsi="Times New Roman" w:cs="Times New Roman"/>
          <w:b/>
          <w:sz w:val="24"/>
          <w:szCs w:val="24"/>
        </w:rPr>
      </w:pPr>
    </w:p>
    <w:p w:rsidR="00BF536D" w:rsidRPr="004C5955" w:rsidRDefault="00BF536D" w:rsidP="00694CEE">
      <w:pPr>
        <w:spacing w:line="360" w:lineRule="auto"/>
        <w:rPr>
          <w:rFonts w:ascii="Times New Roman" w:hAnsi="Times New Roman" w:cs="Times New Roman"/>
          <w:b/>
          <w:sz w:val="24"/>
          <w:szCs w:val="24"/>
        </w:rPr>
      </w:pPr>
    </w:p>
    <w:p w:rsidR="00CB4707" w:rsidRPr="004C5955" w:rsidRDefault="00CB4707" w:rsidP="00694CEE">
      <w:pPr>
        <w:spacing w:line="360" w:lineRule="auto"/>
        <w:rPr>
          <w:rFonts w:ascii="Times New Roman" w:hAnsi="Times New Roman" w:cs="Times New Roman"/>
          <w:b/>
          <w:sz w:val="24"/>
          <w:szCs w:val="24"/>
        </w:rPr>
      </w:pPr>
    </w:p>
    <w:p w:rsidR="00AF0F9D" w:rsidRPr="004C5955" w:rsidRDefault="00AF0F9D" w:rsidP="00694CEE">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Taddesse,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In addition to this, Frantsouzoff, stresses the important relationships of both genres arguing that ‘Two genres of Gə’əz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694CEE">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E0B79">
        <w:rPr>
          <w:rFonts w:ascii="Times New Roman" w:hAnsi="Times New Roman" w:cs="Times New Roman"/>
          <w:sz w:val="24"/>
          <w:szCs w:val="24"/>
          <w:shd w:val="clear" w:color="auto" w:fill="FFFF00"/>
        </w:rPr>
        <w:t>and</w:t>
      </w:r>
      <w:r w:rsidRPr="003E0B79">
        <w:rPr>
          <w:rFonts w:ascii="Times New Roman" w:hAnsi="Times New Roman" w:cs="Times New Roman"/>
          <w:sz w:val="24"/>
          <w:szCs w:val="24"/>
          <w:shd w:val="clear" w:color="auto" w:fill="FFFF00"/>
        </w:rPr>
        <w:t xml:space="preserve"> </w:t>
      </w:r>
      <w:r w:rsidRPr="004C5955">
        <w:rPr>
          <w:rFonts w:ascii="Times New Roman" w:hAnsi="Times New Roman" w:cs="Times New Roman"/>
          <w:sz w:val="24"/>
          <w:szCs w:val="24"/>
        </w:rPr>
        <w:t>the Saint is its focal narrative character. Both figures</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King and Saint</w:t>
      </w:r>
      <w:r w:rsidRPr="003E0B79">
        <w:rPr>
          <w:rFonts w:ascii="Times New Roman" w:hAnsi="Times New Roman" w:cs="Times New Roman"/>
          <w:sz w:val="24"/>
          <w:szCs w:val="24"/>
          <w:shd w:val="clear" w:color="auto" w:fill="FFFF00"/>
        </w:rPr>
        <w:t>,</w:t>
      </w:r>
      <w:r w:rsidRPr="004C5955">
        <w:rPr>
          <w:rFonts w:ascii="Times New Roman" w:hAnsi="Times New Roman" w:cs="Times New Roman"/>
          <w:sz w:val="24"/>
          <w:szCs w:val="24"/>
        </w:rPr>
        <w:t xml:space="preserve">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 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r w:rsidRPr="004C5955">
        <w:rPr>
          <w:rFonts w:ascii="Nyala" w:eastAsia="Ethiopic Unicode" w:hAnsi="Nyala" w:cs="Nyala"/>
          <w:sz w:val="24"/>
          <w:szCs w:val="24"/>
        </w:rPr>
        <w:t>ስዱኒ፡</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ኀበ፡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መምህር፡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ከመ፡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እትመሀር፡</w:t>
      </w:r>
      <w:r w:rsidR="006A3996"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መዝሙረ፡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ወጸሎተ፡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ኦአቡየ፡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ወእምየ፡</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I-according to his chronicle </w:t>
      </w:r>
      <w:r w:rsidRPr="004C5955">
        <w:rPr>
          <w:rFonts w:ascii="Nyala" w:eastAsia="Ethiopic Unicode" w:hAnsi="Nyala" w:cs="Nyala"/>
          <w:sz w:val="24"/>
          <w:szCs w:val="24"/>
        </w:rPr>
        <w:t>አመ፡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ተወልደ፡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ሐፀንዎ፡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አቡሁ፡</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አእላፍ፡</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ሰገድ፡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ወእሙ፡</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ንግስት፡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ሰብለ፡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ወንጌል፡</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ሠናየ፡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ሕፅነተ፡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ወአልሐቅዎ፡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በጥበብ፡</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ወተግሣፅ፡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ወበትምህርተ፡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መጻሕፍት፡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ቅዱሳት፡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ወበፍርሃተ፡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እግዚአብሔር፡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እስመ፡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እሙንቱ፡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lastRenderedPageBreak/>
        <w:t>ጻድቃን፡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ወፈራህያነ፡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እግዚአብሔር</w:t>
      </w:r>
      <w:r w:rsidRPr="004C5955">
        <w:rPr>
          <w:rFonts w:ascii="Times New Roman" w:eastAsia="Ethiopic Unicode" w:hAnsi="Times New Roman" w:cs="Times New Roman"/>
          <w:sz w:val="24"/>
          <w:szCs w:val="24"/>
        </w:rPr>
        <w:t xml:space="preserve"> … </w:t>
      </w:r>
      <w:r w:rsidRPr="004C5955">
        <w:rPr>
          <w:rFonts w:ascii="Nyala" w:eastAsia="Ethiopic Unicode" w:hAnsi="Nyala" w:cs="Nyala"/>
          <w:sz w:val="24"/>
          <w:szCs w:val="24"/>
        </w:rPr>
        <w:t>ወውእቱሂ፡</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ኮነ፡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ማእምረ፡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ወፍቁረ፡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r w:rsidRPr="004C5955">
        <w:rPr>
          <w:rFonts w:ascii="Nyala" w:eastAsia="Ethiopic Unicode" w:hAnsi="Nyala" w:cs="Nyala"/>
          <w:iCs/>
          <w:sz w:val="24"/>
          <w:szCs w:val="24"/>
        </w:rPr>
        <w:t>ኵሉ፡</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ወጠቢበ፡</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ወተምህረ፡</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ተፅዕኖተ፡</w:t>
      </w:r>
      <w:r w:rsidRPr="004C5955">
        <w:rPr>
          <w:rFonts w:ascii="Times New Roman" w:eastAsia="Ethiopic Unicode" w:hAnsi="Times New Roman" w:cs="Times New Roman"/>
          <w:iCs/>
          <w:sz w:val="24"/>
          <w:szCs w:val="24"/>
        </w:rPr>
        <w:t xml:space="preserve"> </w:t>
      </w:r>
      <w:r w:rsidRPr="004C5955">
        <w:rPr>
          <w:rFonts w:ascii="Nyala" w:eastAsia="Ethiopic Unicode" w:hAnsi="Nyala" w:cs="Nyala"/>
          <w:iCs/>
          <w:sz w:val="24"/>
          <w:szCs w:val="24"/>
        </w:rPr>
        <w:t>ፈረስ።</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When he was born, his father 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 Säggäd [Yoḥannǝs I] and his mother  Queen Säblä Wängel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r w:rsidR="000B337A" w:rsidRPr="004C5955">
        <w:rPr>
          <w:rFonts w:ascii="Times New Roman" w:hAnsi="Times New Roman" w:cs="Times New Roman"/>
          <w:sz w:val="24"/>
          <w:szCs w:val="24"/>
        </w:rPr>
        <w:t>Sergew</w:t>
      </w:r>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Bäsälotä Mika’el is an ideal example in this regard. In his endeavour to carry out their mission, though, he encountered resistance and torture from the King ‘Amdä Ṣəyon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Täklä Haymanot</w:t>
      </w:r>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Yoḥannǝs Məśraqawi</w:t>
      </w:r>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is a good example in this regard.</w:t>
      </w:r>
    </w:p>
    <w:p w:rsidR="00AF0F9D" w:rsidRPr="004C5955" w:rsidRDefault="00AF0F9D" w:rsidP="00694CEE">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Gebreyes, we still have no evidence that proves the existence of a tradition of the composition of chronicle either during the Aksumite or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Thus, the tradition of composing royal chronicle is the only one of its kind dedicated to Solomonic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 xml:space="preserve">e dynasty, they are regarded as holy Kings by the Ethiopian Orthodox Church. </w:t>
      </w:r>
      <w:r w:rsidRPr="004C5955">
        <w:rPr>
          <w:rFonts w:ascii="Times New Roman" w:eastAsia="StempelGaramond-Roman" w:hAnsi="Times New Roman" w:cs="Times New Roman"/>
          <w:sz w:val="24"/>
          <w:szCs w:val="24"/>
        </w:rPr>
        <w:t>The 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 Kings, Yəmrəhnnä-Krəstos, Lalibäla, 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 Lä’ab and Yətbaräk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r w:rsidRPr="004C5955">
        <w:rPr>
          <w:rFonts w:ascii="Times New Roman" w:hAnsi="Times New Roman" w:cs="Times New Roman"/>
          <w:i/>
          <w:sz w:val="24"/>
          <w:szCs w:val="24"/>
        </w:rPr>
        <w:t>Gädl</w:t>
      </w:r>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1" w:name="_Toc87456756"/>
    </w:p>
    <w:p w:rsidR="00AF0F9D" w:rsidRPr="004C5955" w:rsidRDefault="00E51A9A" w:rsidP="00C21B7E">
      <w:pPr>
        <w:pStyle w:val="ListParagraph"/>
        <w:numPr>
          <w:ilvl w:val="0"/>
          <w:numId w:val="9"/>
        </w:numPr>
        <w:shd w:val="clear" w:color="auto" w:fill="92D050"/>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r w:rsidRPr="004C5955">
        <w:rPr>
          <w:rFonts w:ascii="Times New Roman" w:eastAsiaTheme="majorEastAsia" w:hAnsi="Times New Roman" w:cs="Times New Roman"/>
          <w:b/>
          <w:bCs/>
          <w:i/>
          <w:sz w:val="24"/>
          <w:szCs w:val="24"/>
          <w:lang w:bidi="en-US"/>
        </w:rPr>
        <w:t>aṣe</w:t>
      </w:r>
      <w:r w:rsidRPr="004C5955">
        <w:rPr>
          <w:rFonts w:ascii="Times New Roman" w:eastAsiaTheme="majorEastAsia" w:hAnsi="Times New Roman" w:cs="Times New Roman"/>
          <w:b/>
          <w:bCs/>
          <w:sz w:val="24"/>
          <w:szCs w:val="24"/>
          <w:lang w:bidi="en-US"/>
        </w:rPr>
        <w:t xml:space="preserve"> Iyasu I </w:t>
      </w:r>
      <w:bookmarkEnd w:id="1"/>
    </w:p>
    <w:p w:rsidR="00AF0F9D" w:rsidRPr="004C5955" w:rsidRDefault="00E51A9A" w:rsidP="00694CEE">
      <w:pPr>
        <w:spacing w:line="360" w:lineRule="auto"/>
        <w:jc w:val="both"/>
        <w:rPr>
          <w:rFonts w:ascii="Times New Roman" w:eastAsia="Times New Roman" w:hAnsi="Times New Roman" w:cs="Times New Roman"/>
          <w:sz w:val="24"/>
          <w:szCs w:val="24"/>
          <w:lang w:eastAsia="en-GB"/>
        </w:rPr>
      </w:pPr>
      <w:r w:rsidRPr="00C21B7E">
        <w:rPr>
          <w:rFonts w:ascii="Times New Roman" w:hAnsi="Times New Roman" w:cs="Times New Roman"/>
          <w:sz w:val="24"/>
          <w:szCs w:val="24"/>
          <w:shd w:val="clear" w:color="auto" w:fill="92D050"/>
        </w:rPr>
        <w:t xml:space="preserve">Before going to the lexical relationships between the two texts it may be better to discuss the short history of </w:t>
      </w:r>
      <w:r w:rsidRPr="00C21B7E">
        <w:rPr>
          <w:rFonts w:ascii="Times New Roman" w:hAnsi="Times New Roman" w:cs="Times New Roman"/>
          <w:i/>
          <w:sz w:val="24"/>
          <w:szCs w:val="24"/>
          <w:shd w:val="clear" w:color="auto" w:fill="92D050"/>
        </w:rPr>
        <w:t>aṣe</w:t>
      </w:r>
      <w:r w:rsidRPr="00C21B7E">
        <w:rPr>
          <w:rFonts w:ascii="Times New Roman" w:hAnsi="Times New Roman" w:cs="Times New Roman"/>
          <w:sz w:val="24"/>
          <w:szCs w:val="24"/>
          <w:shd w:val="clear" w:color="auto" w:fill="92D050"/>
        </w:rPr>
        <w:t xml:space="preserve"> Iyasu I and his hagiography and chronicle.</w:t>
      </w:r>
      <w:r w:rsidRPr="004C5955">
        <w:rPr>
          <w:rFonts w:ascii="Times New Roman" w:hAnsi="Times New Roman" w:cs="Times New Roman"/>
          <w:i/>
          <w:sz w:val="24"/>
          <w:szCs w:val="24"/>
        </w:rPr>
        <w:t xml:space="preserve"> </w:t>
      </w:r>
      <w:r w:rsidR="00AF0F9D" w:rsidRPr="004C5955">
        <w:rPr>
          <w:rFonts w:ascii="Times New Roman" w:hAnsi="Times New Roman" w:cs="Times New Roman"/>
          <w:i/>
          <w:sz w:val="24"/>
          <w:szCs w:val="24"/>
        </w:rPr>
        <w:t>Aṣe</w:t>
      </w:r>
      <w:r w:rsidR="002F2486" w:rsidRPr="004C5955">
        <w:rPr>
          <w:rStyle w:val="FootnoteReference"/>
          <w:rFonts w:ascii="Times New Roman" w:hAnsi="Times New Roman" w:cs="Times New Roman"/>
          <w:i/>
          <w:sz w:val="24"/>
          <w:szCs w:val="24"/>
        </w:rPr>
        <w:footnoteReference w:id="19"/>
      </w:r>
      <w:r w:rsidR="00AF0F9D" w:rsidRPr="004C5955">
        <w:rPr>
          <w:rFonts w:ascii="Times New Roman" w:hAnsi="Times New Roman" w:cs="Times New Roman"/>
          <w:i/>
          <w:sz w:val="24"/>
          <w:szCs w:val="24"/>
        </w:rPr>
        <w:t xml:space="preserve"> </w:t>
      </w:r>
      <w:r w:rsidR="00AF0F9D" w:rsidRPr="004C5955">
        <w:rPr>
          <w:rFonts w:ascii="Times New Roman" w:hAnsi="Times New Roman" w:cs="Times New Roman"/>
          <w:sz w:val="24"/>
          <w:szCs w:val="24"/>
        </w:rPr>
        <w:t>Iyasu I ruled twenty four years, from 1682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1706. His regnal name, Adyam Sägäd</w:t>
      </w:r>
      <w:r w:rsidR="00AF0F9D" w:rsidRPr="004C5955">
        <w:rPr>
          <w:rFonts w:ascii="Times New Roman" w:hAnsi="Times New Roman" w:cs="Times New Roman"/>
          <w:sz w:val="24"/>
          <w:szCs w:val="24"/>
          <w:vertAlign w:val="superscript"/>
        </w:rPr>
        <w:footnoteReference w:id="20"/>
      </w:r>
      <w:r w:rsidR="00AF0F9D" w:rsidRPr="004C5955">
        <w:rPr>
          <w:rFonts w:ascii="Times New Roman" w:hAnsi="Times New Roman" w:cs="Times New Roman"/>
          <w:sz w:val="24"/>
          <w:szCs w:val="24"/>
        </w:rPr>
        <w:t>, is always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‘Iyasu the Great’. He owned t</w:t>
      </w:r>
      <w:r w:rsidR="00AF0F9D" w:rsidRPr="00C21B7E">
        <w:rPr>
          <w:rFonts w:ascii="Times New Roman" w:hAnsi="Times New Roman" w:cs="Times New Roman"/>
          <w:sz w:val="24"/>
          <w:szCs w:val="24"/>
          <w:shd w:val="clear" w:color="auto" w:fill="FFFF00"/>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r w:rsidR="00AF0F9D" w:rsidRPr="004C5955">
        <w:rPr>
          <w:rFonts w:ascii="Times New Roman" w:hAnsi="Times New Roman" w:cs="Times New Roman"/>
          <w:i/>
          <w:sz w:val="24"/>
          <w:szCs w:val="24"/>
        </w:rPr>
        <w:t xml:space="preserve">aṣe </w:t>
      </w:r>
      <w:r w:rsidR="00AF0F9D" w:rsidRPr="004C5955">
        <w:rPr>
          <w:rFonts w:ascii="Times New Roman" w:hAnsi="Times New Roman" w:cs="Times New Roman"/>
          <w:sz w:val="24"/>
          <w:szCs w:val="24"/>
        </w:rPr>
        <w:t>Yoḥannǝs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r w:rsidR="00AF0F9D" w:rsidRPr="004C5955">
        <w:rPr>
          <w:rFonts w:ascii="Times New Roman" w:hAnsi="Times New Roman" w:cs="Times New Roman"/>
          <w:i/>
          <w:sz w:val="24"/>
          <w:szCs w:val="24"/>
        </w:rPr>
        <w:t xml:space="preserve">aṣe </w:t>
      </w:r>
      <w:r w:rsidR="00AF0F9D" w:rsidRPr="004C5955">
        <w:rPr>
          <w:rFonts w:ascii="Times New Roman" w:hAnsi="Times New Roman" w:cs="Times New Roman"/>
          <w:sz w:val="24"/>
          <w:szCs w:val="24"/>
        </w:rPr>
        <w:t>Fasilädäs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r w:rsidR="00AF0F9D" w:rsidRPr="004C5955">
        <w:rPr>
          <w:rFonts w:ascii="Times New Roman" w:eastAsia="StempelGaramond-Roman" w:hAnsi="Times New Roman" w:cs="Times New Roman"/>
          <w:i/>
          <w:sz w:val="24"/>
          <w:szCs w:val="24"/>
        </w:rPr>
        <w:t xml:space="preserve">Aṣe </w:t>
      </w:r>
      <w:r w:rsidR="00AF0F9D" w:rsidRPr="004C5955">
        <w:rPr>
          <w:rFonts w:ascii="Times New Roman" w:eastAsia="StempelGaramond-Roman" w:hAnsi="Times New Roman" w:cs="Times New Roman"/>
          <w:sz w:val="24"/>
          <w:szCs w:val="24"/>
        </w:rPr>
        <w:t>Iyasu I was the last Gondarine monarch to reach as far as Ǝnnarya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He built up his power by visiting such symbolical places as the old and then remote monastery of Däbrä Libanos in Šawa</w:t>
      </w:r>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r w:rsidR="00AF0F9D" w:rsidRPr="00C21B7E">
        <w:rPr>
          <w:rFonts w:ascii="Times New Roman" w:hAnsi="Times New Roman" w:cs="Times New Roman"/>
          <w:sz w:val="24"/>
          <w:szCs w:val="24"/>
          <w:shd w:val="clear" w:color="auto" w:fill="FFFF00"/>
        </w:rPr>
        <w:t>Ṣǝyon</w:t>
      </w:r>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r w:rsidR="00AF0F9D" w:rsidRPr="00C21B7E">
        <w:rPr>
          <w:rFonts w:ascii="Times New Roman" w:eastAsia="StempelGaramond-Roman" w:hAnsi="Times New Roman" w:cs="Times New Roman"/>
          <w:i/>
          <w:sz w:val="24"/>
          <w:szCs w:val="24"/>
        </w:rPr>
        <w:t>Gult</w:t>
      </w:r>
      <w:r w:rsidR="00AF0F9D" w:rsidRPr="004C5955">
        <w:rPr>
          <w:rFonts w:ascii="Times New Roman" w:eastAsia="StempelGaramond-Roman" w:hAnsi="Times New Roman" w:cs="Times New Roman"/>
          <w:sz w:val="24"/>
          <w:szCs w:val="24"/>
        </w:rPr>
        <w:t xml:space="preserve"> lands, laws and privileges were restored to Aksum </w:t>
      </w:r>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 xml:space="preserve">əyon in 1687. And he granted lands to other churches such as </w:t>
      </w:r>
      <w:r w:rsidR="00AF0F9D" w:rsidRPr="00C21B7E">
        <w:rPr>
          <w:rFonts w:ascii="Times New Roman" w:eastAsia="Ethiopic Unicode" w:hAnsi="Times New Roman" w:cs="Times New Roman"/>
          <w:sz w:val="24"/>
          <w:szCs w:val="24"/>
          <w:shd w:val="clear" w:color="auto" w:fill="FFFF00"/>
        </w:rPr>
        <w:t>Märṭula</w:t>
      </w:r>
      <w:r w:rsidR="00AF0F9D" w:rsidRPr="004C595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Maryam in 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 He also built the model church of Däbrä Bərhan Śəllase in 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 xml:space="preserve">r, which was consecrated in 1694. Nowadays, this church is known for its fine murals, which cover the entire wall. He also gave preferences to the religious doctrine of the </w:t>
      </w:r>
      <w:r w:rsidR="00AF0F9D" w:rsidRPr="004C5955">
        <w:rPr>
          <w:rFonts w:ascii="Times New Roman" w:eastAsia="StempelGaramond-Roman" w:hAnsi="Times New Roman" w:cs="Times New Roman"/>
          <w:iCs/>
          <w:sz w:val="24"/>
          <w:szCs w:val="24"/>
        </w:rPr>
        <w:t>Täwahədo</w:t>
      </w:r>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r w:rsidR="00AF0F9D" w:rsidRPr="004C5955">
        <w:rPr>
          <w:rFonts w:ascii="Times New Roman" w:eastAsia="StempelGaramond-Roman" w:hAnsi="Times New Roman" w:cs="Times New Roman"/>
          <w:iCs/>
          <w:sz w:val="24"/>
          <w:szCs w:val="24"/>
        </w:rPr>
        <w:t xml:space="preserve">abunä </w:t>
      </w:r>
      <w:r w:rsidR="00AF0F9D" w:rsidRPr="004C5955">
        <w:rPr>
          <w:rFonts w:ascii="Times New Roman" w:hAnsi="Times New Roman" w:cs="Times New Roman"/>
          <w:sz w:val="24"/>
          <w:szCs w:val="24"/>
        </w:rPr>
        <w:t>Täklä Haymanot</w:t>
      </w:r>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r w:rsidR="00AF0F9D" w:rsidRPr="004C5955">
        <w:rPr>
          <w:rFonts w:ascii="Times New Roman" w:eastAsia="StempelGaramond-Roman" w:hAnsi="Times New Roman" w:cs="Times New Roman"/>
          <w:i/>
          <w:iCs/>
          <w:sz w:val="24"/>
          <w:szCs w:val="24"/>
        </w:rPr>
        <w:t>Kidan</w:t>
      </w:r>
      <w:r w:rsidR="00AF0F9D" w:rsidRPr="004C5955">
        <w:rPr>
          <w:rFonts w:ascii="Times New Roman" w:eastAsia="StempelGaramond-Roman" w:hAnsi="Times New Roman" w:cs="Times New Roman"/>
          <w:sz w:val="24"/>
          <w:szCs w:val="24"/>
        </w:rPr>
        <w:t xml:space="preserve">) between </w:t>
      </w:r>
      <w:r w:rsidR="00AF0F9D" w:rsidRPr="004C5955">
        <w:rPr>
          <w:rFonts w:ascii="Times New Roman" w:eastAsia="StempelGaramond-Roman" w:hAnsi="Times New Roman" w:cs="Times New Roman"/>
          <w:i/>
          <w:iCs/>
          <w:sz w:val="24"/>
          <w:szCs w:val="24"/>
        </w:rPr>
        <w:t xml:space="preserve">aṣe </w:t>
      </w:r>
      <w:r w:rsidR="00AF0F9D" w:rsidRPr="004C5955">
        <w:rPr>
          <w:rFonts w:ascii="Times New Roman" w:eastAsia="StempelGaramond-Roman" w:hAnsi="Times New Roman" w:cs="Times New Roman"/>
          <w:sz w:val="24"/>
          <w:szCs w:val="24"/>
        </w:rPr>
        <w:t>Yəkunno Amlak and the Saint which was believed to have the Solomonic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 in Təgray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Ṭana </w:t>
      </w:r>
      <w:r w:rsidR="00AF0F9D" w:rsidRPr="004C5955">
        <w:rPr>
          <w:rFonts w:ascii="Times New Roman" w:eastAsia="StempelGaramond-Roman" w:hAnsi="Times New Roman" w:cs="Times New Roman"/>
          <w:sz w:val="24"/>
          <w:szCs w:val="24"/>
        </w:rPr>
        <w:t xml:space="preserve">for cure in 1705. Thereafter, he appointed his son Täklä Haymanot. However, on 8 March 1706, the supporters of </w:t>
      </w:r>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r w:rsidR="00AF0F9D" w:rsidRPr="004C5955">
        <w:rPr>
          <w:rFonts w:ascii="Times New Roman" w:eastAsia="StempelGaramond-Roman" w:hAnsi="Times New Roman" w:cs="Times New Roman"/>
          <w:sz w:val="24"/>
          <w:szCs w:val="24"/>
        </w:rPr>
        <w:t xml:space="preserve"> doctrine court nobles in Gondär, most prominently </w:t>
      </w:r>
      <w:r w:rsidR="00AF0F9D" w:rsidRPr="004C5955">
        <w:rPr>
          <w:rFonts w:ascii="Times New Roman" w:eastAsia="StempelGaramond-Roman" w:hAnsi="Times New Roman" w:cs="Times New Roman"/>
          <w:i/>
          <w:sz w:val="24"/>
          <w:szCs w:val="24"/>
        </w:rPr>
        <w:t>ras</w:t>
      </w:r>
      <w:r w:rsidR="00AF0F9D" w:rsidRPr="004C5955">
        <w:rPr>
          <w:rFonts w:ascii="Times New Roman" w:eastAsia="StempelGaramond-Roman" w:hAnsi="Times New Roman" w:cs="Times New Roman"/>
          <w:sz w:val="24"/>
          <w:szCs w:val="24"/>
        </w:rPr>
        <w:t xml:space="preserve"> Fares and </w:t>
      </w:r>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r w:rsidR="00AF0F9D" w:rsidRPr="004C5955">
        <w:rPr>
          <w:rFonts w:ascii="Times New Roman" w:eastAsia="StempelGaramond-Roman" w:hAnsi="Times New Roman" w:cs="Times New Roman"/>
          <w:sz w:val="24"/>
          <w:szCs w:val="24"/>
        </w:rPr>
        <w:t xml:space="preserve"> Wäldä Giyorgis of Səmen, enthroned Täklä Haymanot</w:t>
      </w:r>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r w:rsidR="00AF0F9D" w:rsidRPr="004C5955">
        <w:rPr>
          <w:rFonts w:ascii="Times New Roman" w:hAnsi="Times New Roman" w:cs="Times New Roman"/>
          <w:i/>
          <w:sz w:val="24"/>
          <w:szCs w:val="24"/>
        </w:rPr>
        <w:t xml:space="preserve">aṣe </w:t>
      </w:r>
      <w:r w:rsidR="00AF0F9D" w:rsidRPr="004C5955">
        <w:rPr>
          <w:rFonts w:ascii="Times New Roman" w:eastAsia="StempelGaramond-Roman" w:hAnsi="Times New Roman" w:cs="Times New Roman"/>
          <w:sz w:val="24"/>
          <w:szCs w:val="24"/>
        </w:rPr>
        <w:t xml:space="preserve">Iyasu I. </w:t>
      </w:r>
      <w:r w:rsidR="00AF0F9D" w:rsidRPr="004C5955">
        <w:rPr>
          <w:rFonts w:ascii="Times New Roman" w:hAnsi="Times New Roman" w:cs="Times New Roman"/>
          <w:sz w:val="24"/>
          <w:szCs w:val="24"/>
        </w:rPr>
        <w:t xml:space="preserve">He was shortly after his dethronement murdered by order of his son, his concubines Mäläkotawit, and her brothers on </w:t>
      </w:r>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 Mänzo</w:t>
      </w:r>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named</w:t>
      </w:r>
      <w:r w:rsidR="00CF1099" w:rsidRPr="004C5955">
        <w:rPr>
          <w:rFonts w:ascii="Times New Roman" w:hAnsi="Times New Roman" w:cs="Times New Roman"/>
          <w:sz w:val="24"/>
          <w:szCs w:val="24"/>
        </w:rPr>
        <w:t xml:space="preserve"> </w:t>
      </w:r>
      <w:r w:rsidR="00CF1099" w:rsidRPr="00C21B7E">
        <w:rPr>
          <w:rFonts w:ascii="Times New Roman" w:hAnsi="Times New Roman" w:cs="Times New Roman"/>
          <w:sz w:val="24"/>
          <w:szCs w:val="24"/>
          <w:shd w:val="clear" w:color="auto" w:fill="FFFF00"/>
        </w:rPr>
        <w:t>Məṣraḥa</w:t>
      </w:r>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r w:rsidR="00AF0F9D" w:rsidRPr="004C5955">
        <w:rPr>
          <w:rFonts w:ascii="Nyala" w:eastAsia="Ethiopic Unicode" w:hAnsi="Nyala" w:cs="Nyala"/>
          <w:sz w:val="24"/>
          <w:szCs w:val="24"/>
        </w:rPr>
        <w:t>ሰማዕት</w:t>
      </w:r>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Dərmən and Pawlos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r w:rsidR="00AF0F9D" w:rsidRPr="004C5955">
        <w:rPr>
          <w:rFonts w:ascii="Times New Roman" w:hAnsi="Times New Roman" w:cs="Times New Roman"/>
          <w:i/>
          <w:sz w:val="24"/>
          <w:szCs w:val="24"/>
        </w:rPr>
        <w:t>Gädlä</w:t>
      </w:r>
      <w:r w:rsidR="00AF0F9D" w:rsidRPr="004C5955">
        <w:rPr>
          <w:rFonts w:ascii="Times New Roman" w:hAnsi="Times New Roman" w:cs="Times New Roman"/>
          <w:sz w:val="24"/>
          <w:szCs w:val="24"/>
        </w:rPr>
        <w:t xml:space="preserve"> Adyam Sägäd was written soon after his death. He is also commemorated in the </w:t>
      </w:r>
      <w:r w:rsidR="00AF0F9D" w:rsidRPr="004C5955">
        <w:rPr>
          <w:rFonts w:ascii="Times New Roman" w:hAnsi="Times New Roman" w:cs="Times New Roman"/>
          <w:i/>
          <w:sz w:val="24"/>
          <w:szCs w:val="24"/>
        </w:rPr>
        <w:t>Sǝnkǝssar</w:t>
      </w:r>
      <w:r w:rsidR="00AF0F9D" w:rsidRPr="004C5955">
        <w:rPr>
          <w:rFonts w:ascii="Times New Roman" w:hAnsi="Times New Roman" w:cs="Times New Roman"/>
          <w:sz w:val="24"/>
          <w:szCs w:val="24"/>
        </w:rPr>
        <w:t xml:space="preserve"> on 05 T</w:t>
      </w:r>
      <w:r w:rsidR="00AF0F9D" w:rsidRPr="004C5955">
        <w:rPr>
          <w:rFonts w:ascii="Times New Roman" w:hAnsi="Times New Roman" w:cs="Times New Roman"/>
          <w:i/>
          <w:sz w:val="24"/>
          <w:szCs w:val="24"/>
        </w:rPr>
        <w:t>əqəmt</w:t>
      </w:r>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583E58">
      <w:pPr>
        <w:pStyle w:val="ListParagraph"/>
        <w:numPr>
          <w:ilvl w:val="0"/>
          <w:numId w:val="9"/>
        </w:numPr>
        <w:shd w:val="clear" w:color="auto" w:fill="FFFF00"/>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r w:rsidRPr="004C5955">
        <w:rPr>
          <w:rFonts w:ascii="Times New Roman" w:hAnsi="Times New Roman" w:cs="Times New Roman"/>
          <w:b/>
          <w:i/>
          <w:sz w:val="24"/>
          <w:szCs w:val="24"/>
        </w:rPr>
        <w:t>aṣe</w:t>
      </w:r>
      <w:r w:rsidRPr="004C5955">
        <w:rPr>
          <w:rFonts w:ascii="Times New Roman" w:hAnsi="Times New Roman" w:cs="Times New Roman"/>
          <w:b/>
          <w:sz w:val="24"/>
          <w:szCs w:val="24"/>
        </w:rPr>
        <w:t xml:space="preserve"> Iyasu I </w:t>
      </w:r>
    </w:p>
    <w:p w:rsidR="0044133A"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Gädlä Adyam Sägäd Iyasu was probably written by </w:t>
      </w:r>
      <w:r w:rsidRPr="004C5955">
        <w:rPr>
          <w:rFonts w:ascii="Times New Roman" w:hAnsi="Times New Roman" w:cs="Times New Roman"/>
          <w:i/>
          <w:sz w:val="24"/>
          <w:szCs w:val="24"/>
        </w:rPr>
        <w:t>azzaž</w:t>
      </w:r>
      <w:r w:rsidRPr="004C5955">
        <w:rPr>
          <w:rFonts w:ascii="Times New Roman" w:hAnsi="Times New Roman" w:cs="Times New Roman"/>
          <w:sz w:val="24"/>
          <w:szCs w:val="24"/>
        </w:rPr>
        <w:t xml:space="preserve"> Sinoda</w:t>
      </w:r>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It was composed some years after the death of the King during the reign of Tewoflos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Tewoflos decided to honour the memory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and canonize him on the second anniversary of his death, Sinoda was reappointed to write the vita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a piece of hagiography rather than historiography.</w:t>
      </w:r>
      <w:r w:rsidRPr="004C5955">
        <w:rPr>
          <w:rFonts w:ascii="Times New Roman" w:hAnsi="Times New Roman" w:cs="Times New Roman"/>
          <w:sz w:val="24"/>
          <w:szCs w:val="24"/>
          <w:vertAlign w:val="superscript"/>
        </w:rPr>
        <w:footnoteReference w:id="35"/>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92D050"/>
        </w:rPr>
        <w:t xml:space="preserve">The hagiography of </w:t>
      </w:r>
      <w:r w:rsidR="0044133A" w:rsidRPr="00C21B7E">
        <w:rPr>
          <w:rFonts w:ascii="Times New Roman" w:hAnsi="Times New Roman" w:cs="Times New Roman"/>
          <w:i/>
          <w:sz w:val="24"/>
          <w:szCs w:val="24"/>
          <w:shd w:val="clear" w:color="auto" w:fill="92D050"/>
        </w:rPr>
        <w:t xml:space="preserve">aṣe </w:t>
      </w:r>
      <w:r w:rsidR="0044133A" w:rsidRPr="00C21B7E">
        <w:rPr>
          <w:rFonts w:ascii="Times New Roman" w:hAnsi="Times New Roman" w:cs="Times New Roman"/>
          <w:sz w:val="24"/>
          <w:szCs w:val="24"/>
          <w:shd w:val="clear" w:color="auto" w:fill="92D050"/>
        </w:rPr>
        <w:t>was translated into Italain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Meanwhile, his chronicle was initially written first by Hawarya Krəstos</w:t>
      </w:r>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Hawarəya Krəstos’s death in 1700, Iyasu I chronicle was continued by </w:t>
      </w:r>
      <w:r w:rsidRPr="004C5955">
        <w:rPr>
          <w:rFonts w:ascii="Times New Roman" w:hAnsi="Times New Roman" w:cs="Times New Roman"/>
          <w:i/>
          <w:sz w:val="24"/>
          <w:szCs w:val="24"/>
        </w:rPr>
        <w:t>azzaž</w:t>
      </w:r>
      <w:r w:rsidRPr="004C5955">
        <w:rPr>
          <w:rFonts w:ascii="Times New Roman" w:hAnsi="Times New Roman" w:cs="Times New Roman"/>
          <w:sz w:val="24"/>
          <w:szCs w:val="24"/>
        </w:rPr>
        <w:t xml:space="preserve"> Zäwäld Maryam until 1704 and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replaced him by Sinoda, who continued writing the chronicle until Iyasu’s dethronement by 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 xml:space="preserve"> Haymanot.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was edited and translated into</w:t>
      </w:r>
      <w:r w:rsidR="0044133A" w:rsidRPr="004C5955">
        <w:rPr>
          <w:rFonts w:ascii="Times New Roman" w:hAnsi="Times New Roman" w:cs="Times New Roman"/>
          <w:sz w:val="24"/>
          <w:szCs w:val="24"/>
        </w:rPr>
        <w:t xml:space="preserve"> </w:t>
      </w:r>
      <w:r w:rsidR="0044133A" w:rsidRPr="00C21B7E">
        <w:rPr>
          <w:rFonts w:ascii="Times New Roman" w:hAnsi="Times New Roman" w:cs="Times New Roman"/>
          <w:sz w:val="24"/>
          <w:szCs w:val="24"/>
          <w:shd w:val="clear" w:color="auto" w:fill="FFFF00"/>
        </w:rPr>
        <w:t>French</w:t>
      </w:r>
      <w:r w:rsidR="0044133A" w:rsidRPr="004C5955">
        <w:rPr>
          <w:rFonts w:ascii="Times New Roman" w:hAnsi="Times New Roman" w:cs="Times New Roman"/>
          <w:sz w:val="24"/>
          <w:szCs w:val="24"/>
        </w:rPr>
        <w:t xml:space="preserve"> </w:t>
      </w:r>
      <w:r w:rsidRPr="004C5955">
        <w:rPr>
          <w:rFonts w:ascii="Times New Roman" w:hAnsi="Times New Roman" w:cs="Times New Roman"/>
          <w:sz w:val="24"/>
          <w:szCs w:val="24"/>
        </w:rPr>
        <w:t>by Guidi in 1903, on the basis of two manuscripts witness, namely d’Abbadie 167 and Bodl. Aeth.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lastRenderedPageBreak/>
        <w:t>However, both hagiography</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HI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and chronicle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w:t>
      </w:r>
      <w:r w:rsidR="0044133A" w:rsidRPr="004C5955">
        <w:rPr>
          <w:rFonts w:ascii="Times New Roman" w:hAnsi="Times New Roman" w:cs="Times New Roman"/>
          <w:sz w:val="24"/>
          <w:szCs w:val="24"/>
        </w:rPr>
        <w:t xml:space="preserve"> (</w:t>
      </w:r>
      <w:r w:rsidR="0044133A" w:rsidRPr="00583E58">
        <w:rPr>
          <w:rFonts w:ascii="Times New Roman" w:hAnsi="Times New Roman" w:cs="Times New Roman"/>
          <w:sz w:val="24"/>
          <w:szCs w:val="24"/>
          <w:shd w:val="clear" w:color="auto" w:fill="92D050"/>
        </w:rPr>
        <w:t>hereafter CI</w:t>
      </w:r>
      <w:r w:rsidR="0044133A" w:rsidRPr="004C5955">
        <w:rPr>
          <w:rFonts w:ascii="Times New Roman" w:hAnsi="Times New Roman" w:cs="Times New Roman"/>
          <w:sz w:val="24"/>
          <w:szCs w:val="24"/>
        </w:rPr>
        <w:t>)</w:t>
      </w:r>
      <w:r w:rsidRPr="004C5955">
        <w:rPr>
          <w:rFonts w:ascii="Times New Roman" w:hAnsi="Times New Roman" w:cs="Times New Roman"/>
          <w:sz w:val="24"/>
          <w:szCs w:val="24"/>
        </w:rPr>
        <w:t xml:space="preserve"> were</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belonging to different genres</w:t>
      </w:r>
      <w:r w:rsidR="00112DC3" w:rsidRPr="004C5955">
        <w:rPr>
          <w:rFonts w:ascii="Times New Roman" w:hAnsi="Times New Roman" w:cs="Times New Roman"/>
          <w:sz w:val="24"/>
          <w:szCs w:val="24"/>
        </w:rPr>
        <w:t xml:space="preserve">, </w:t>
      </w:r>
      <w:r w:rsidRPr="004C595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4C5955">
        <w:rPr>
          <w:rFonts w:ascii="Times New Roman" w:hAnsi="Times New Roman" w:cs="Times New Roman"/>
          <w:sz w:val="24"/>
          <w:szCs w:val="24"/>
        </w:rPr>
        <w:t xml:space="preserve"> </w:t>
      </w:r>
      <w:r w:rsidR="00112DC3" w:rsidRPr="00583E58">
        <w:rPr>
          <w:rFonts w:ascii="Times New Roman" w:hAnsi="Times New Roman" w:cs="Times New Roman"/>
          <w:sz w:val="24"/>
          <w:szCs w:val="24"/>
          <w:shd w:val="clear" w:color="auto" w:fill="92D050"/>
        </w:rPr>
        <w:t>present different levels of intertextuality</w:t>
      </w:r>
      <w:r w:rsidR="00112DC3" w:rsidRPr="004C5955">
        <w:rPr>
          <w:rFonts w:ascii="Times New Roman" w:hAnsi="Times New Roman" w:cs="Times New Roman"/>
          <w:sz w:val="24"/>
          <w:szCs w:val="24"/>
        </w:rPr>
        <w:t xml:space="preserve"> and understand </w:t>
      </w:r>
      <w:r w:rsidRPr="004C5955">
        <w:rPr>
          <w:rFonts w:ascii="Times New Roman" w:hAnsi="Times New Roman" w:cs="Times New Roman"/>
          <w:sz w:val="24"/>
          <w:szCs w:val="24"/>
        </w:rPr>
        <w:t xml:space="preserve">the history of late Medieval Ethiopia in particular and the comprehensive one in general. They are well known to scholars and students of Ethiopian studies. Both are rich mine of information not only for those interested in the history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and of Gondarine period at large, but also for those interested in Gǝʿǝz language and literature, the history and theological disputes of the Ethiopian Orthodox church, church painting, martyrdom and settlement and so on. </w:t>
      </w:r>
    </w:p>
    <w:p w:rsidR="006D4C25" w:rsidRPr="004C5955" w:rsidRDefault="006D4C25" w:rsidP="00583E58">
      <w:pPr>
        <w:shd w:val="clear" w:color="auto" w:fill="92D050"/>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Iyasu I with his hagiography, especially in the specific subject lexical matters of the texts. There are of course two philological works which have mainly focused on edited and translated the texts into European languages. Guidi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r w:rsidR="00057B76" w:rsidRPr="004C5955">
        <w:rPr>
          <w:rFonts w:ascii="Times New Roman" w:hAnsi="Times New Roman" w:cs="Times New Roman"/>
          <w:i/>
          <w:sz w:val="24"/>
          <w:szCs w:val="24"/>
        </w:rPr>
        <w:t>aṣe</w:t>
      </w:r>
      <w:r w:rsidRPr="004C5955">
        <w:rPr>
          <w:rFonts w:ascii="Times New Roman" w:hAnsi="Times New Roman" w:cs="Times New Roman"/>
          <w:sz w:val="24"/>
          <w:szCs w:val="24"/>
        </w:rPr>
        <w:t xml:space="preserve"> Iyasu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C21B7E">
      <w:pPr>
        <w:pStyle w:val="ListParagraph"/>
        <w:numPr>
          <w:ilvl w:val="0"/>
          <w:numId w:val="9"/>
        </w:numPr>
        <w:shd w:val="clear" w:color="auto" w:fill="92D050"/>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Pr="004C5955" w:rsidRDefault="00285CAD" w:rsidP="00C21B7E">
      <w:pPr>
        <w:shd w:val="clear" w:color="auto" w:fill="92D050"/>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rsidR="00AF0F9D" w:rsidRPr="004C5955" w:rsidRDefault="00146473"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4.1 </w:t>
      </w:r>
      <w:r w:rsidR="00AF0F9D" w:rsidRPr="004C5955">
        <w:rPr>
          <w:rFonts w:ascii="Times New Roman" w:eastAsiaTheme="majorEastAsia" w:hAnsi="Times New Roman" w:cs="Times New Roman"/>
          <w:b/>
          <w:bCs/>
          <w:sz w:val="24"/>
          <w:szCs w:val="24"/>
          <w:lang w:bidi="en-US"/>
        </w:rPr>
        <w:t>The source of data</w:t>
      </w:r>
      <w:bookmarkEnd w:id="2"/>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lastRenderedPageBreak/>
        <w:t>The data for this study have been drawn from the literary sources. The</w:t>
      </w:r>
      <w:r w:rsidR="00903C21" w:rsidRPr="004C5955">
        <w:rPr>
          <w:rFonts w:ascii="Times New Roman" w:hAnsi="Times New Roman" w:cs="Times New Roman"/>
          <w:sz w:val="24"/>
          <w:szCs w:val="24"/>
        </w:rPr>
        <w:t xml:space="preserve"> HI and CI</w:t>
      </w:r>
      <w:r w:rsidRPr="004C5955">
        <w:rPr>
          <w:rFonts w:ascii="Times New Roman" w:hAnsi="Times New Roman" w:cs="Times New Roman"/>
          <w:sz w:val="24"/>
          <w:szCs w:val="24"/>
        </w:rPr>
        <w:t xml:space="preserve"> are the principal literary sources </w:t>
      </w:r>
      <w:r w:rsidRPr="00C21B7E">
        <w:rPr>
          <w:rFonts w:ascii="Times New Roman" w:hAnsi="Times New Roman" w:cs="Times New Roman"/>
          <w:sz w:val="24"/>
          <w:szCs w:val="24"/>
          <w:shd w:val="clear" w:color="auto" w:fill="FFFF00"/>
        </w:rPr>
        <w:t xml:space="preserve">for the </w:t>
      </w:r>
      <w:r w:rsidR="00903C21" w:rsidRPr="00C21B7E">
        <w:rPr>
          <w:rFonts w:ascii="Times New Roman" w:hAnsi="Times New Roman" w:cs="Times New Roman"/>
          <w:sz w:val="24"/>
          <w:szCs w:val="24"/>
          <w:shd w:val="clear" w:color="auto" w:fill="FFFF00"/>
        </w:rPr>
        <w:t>article</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which are both written in Gǝʿǝz. Much effort was made to collect all the existing manuscripts of both texts from various churches and monasteries. </w:t>
      </w:r>
      <w:r w:rsidRPr="00C21B7E">
        <w:rPr>
          <w:rFonts w:ascii="Times New Roman" w:eastAsia="Calibri" w:hAnsi="Times New Roman" w:cs="Times New Roman"/>
          <w:sz w:val="24"/>
          <w:szCs w:val="24"/>
          <w:shd w:val="clear" w:color="auto" w:fill="FFFF00"/>
        </w:rPr>
        <w:t xml:space="preserve">Three manuscript witnesses of the hagiography and two manuscripts of the chronicle can </w:t>
      </w:r>
      <w:r w:rsidRPr="004C5955">
        <w:rPr>
          <w:rFonts w:ascii="Times New Roman" w:eastAsia="Calibri" w:hAnsi="Times New Roman" w:cs="Times New Roman"/>
          <w:sz w:val="24"/>
          <w:szCs w:val="24"/>
        </w:rPr>
        <w:t xml:space="preserve">be found and listed below as sources with their attribution of the place, where the manuscripts are currently existed in physical. </w:t>
      </w:r>
    </w:p>
    <w:p w:rsidR="00AF0F9D" w:rsidRPr="004C5955" w:rsidRDefault="00AF0F9D" w:rsidP="00694CEE">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r w:rsidRPr="004C5955">
        <w:rPr>
          <w:rFonts w:ascii="Times New Roman" w:eastAsia="Calibri" w:hAnsi="Times New Roman" w:cs="Times New Roman"/>
          <w:b/>
          <w:i/>
          <w:sz w:val="24"/>
          <w:szCs w:val="24"/>
        </w:rPr>
        <w:t xml:space="preserve">aṣe </w:t>
      </w:r>
      <w:r w:rsidRPr="004C5955">
        <w:rPr>
          <w:rFonts w:ascii="Times New Roman" w:eastAsia="Calibri" w:hAnsi="Times New Roman" w:cs="Times New Roman"/>
          <w:b/>
          <w:sz w:val="24"/>
          <w:szCs w:val="24"/>
        </w:rPr>
        <w:t xml:space="preserve">Iyasu I:  </w:t>
      </w:r>
      <w:r w:rsidRPr="004C5955">
        <w:rPr>
          <w:rFonts w:ascii="Times New Roman" w:eastAsia="Calibri" w:hAnsi="Times New Roman" w:cs="Times New Roman"/>
          <w:b/>
          <w:sz w:val="24"/>
          <w:szCs w:val="24"/>
        </w:rPr>
        <w:tab/>
      </w: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45063D">
        <w:rPr>
          <w:rFonts w:ascii="Times New Roman" w:eastAsia="Calibri" w:hAnsi="Times New Roman" w:cs="Times New Roman"/>
          <w:sz w:val="24"/>
          <w:szCs w:val="24"/>
          <w:shd w:val="clear" w:color="auto" w:fill="92D050"/>
        </w:rPr>
        <w:t xml:space="preserve">The text of the HI was </w:t>
      </w:r>
      <w:r w:rsidR="007E25DF" w:rsidRPr="0045063D">
        <w:rPr>
          <w:rFonts w:ascii="Times New Roman" w:eastAsia="Calibri" w:hAnsi="Times New Roman" w:cs="Times New Roman"/>
          <w:sz w:val="24"/>
          <w:szCs w:val="24"/>
          <w:shd w:val="clear" w:color="auto" w:fill="92D050"/>
        </w:rPr>
        <w:t xml:space="preserve">translated and </w:t>
      </w:r>
      <w:r w:rsidRPr="0045063D">
        <w:rPr>
          <w:rFonts w:ascii="Times New Roman" w:eastAsia="Calibri" w:hAnsi="Times New Roman" w:cs="Times New Roman"/>
          <w:sz w:val="24"/>
          <w:szCs w:val="24"/>
          <w:shd w:val="clear" w:color="auto" w:fill="92D050"/>
        </w:rPr>
        <w:t>published by Conti Rossini</w:t>
      </w:r>
      <w:r w:rsidR="007E25DF" w:rsidRPr="0045063D">
        <w:rPr>
          <w:rFonts w:ascii="Times New Roman" w:eastAsia="Calibri" w:hAnsi="Times New Roman" w:cs="Times New Roman"/>
          <w:sz w:val="24"/>
          <w:szCs w:val="24"/>
          <w:shd w:val="clear" w:color="auto" w:fill="92D050"/>
        </w:rPr>
        <w:t xml:space="preserve"> in </w:t>
      </w:r>
      <w:r w:rsidR="00A678CB" w:rsidRPr="0045063D">
        <w:rPr>
          <w:rFonts w:ascii="Times New Roman" w:eastAsia="Calibri" w:hAnsi="Times New Roman" w:cs="Times New Roman"/>
          <w:sz w:val="24"/>
          <w:szCs w:val="24"/>
          <w:shd w:val="clear" w:color="auto" w:fill="92D050"/>
        </w:rPr>
        <w:t>1942;</w:t>
      </w:r>
      <w:r w:rsidR="009438CA" w:rsidRPr="0045063D">
        <w:rPr>
          <w:rFonts w:ascii="Times New Roman" w:eastAsia="Calibri" w:hAnsi="Times New Roman" w:cs="Times New Roman"/>
          <w:sz w:val="24"/>
          <w:szCs w:val="24"/>
          <w:shd w:val="clear" w:color="auto" w:fill="92D050"/>
        </w:rPr>
        <w:t xml:space="preserve"> the source of his publication was</w:t>
      </w:r>
      <w:r w:rsidR="007E25DF" w:rsidRPr="0045063D">
        <w:rPr>
          <w:rFonts w:ascii="Times New Roman" w:eastAsia="Calibri" w:hAnsi="Times New Roman" w:cs="Times New Roman"/>
          <w:sz w:val="24"/>
          <w:szCs w:val="24"/>
          <w:shd w:val="clear" w:color="auto" w:fill="92D050"/>
        </w:rPr>
        <w:t xml:space="preserve"> </w:t>
      </w:r>
      <w:r w:rsidR="009438CA" w:rsidRPr="0045063D">
        <w:rPr>
          <w:rFonts w:ascii="Times New Roman" w:eastAsia="Calibri" w:hAnsi="Times New Roman" w:cs="Times New Roman"/>
          <w:sz w:val="24"/>
          <w:szCs w:val="24"/>
          <w:shd w:val="clear" w:color="auto" w:fill="92D050"/>
        </w:rPr>
        <w:t>Däbrä Bərhan Śəllase</w:t>
      </w:r>
      <w:r w:rsidR="00A678CB" w:rsidRPr="0045063D">
        <w:rPr>
          <w:rFonts w:ascii="Times New Roman" w:eastAsia="Calibri" w:hAnsi="Times New Roman" w:cs="Times New Roman"/>
          <w:sz w:val="24"/>
          <w:szCs w:val="24"/>
          <w:shd w:val="clear" w:color="auto" w:fill="92D050"/>
        </w:rPr>
        <w:t xml:space="preserve"> church in Gondär. It was edited on the basis of only one manuscript</w:t>
      </w:r>
      <w:r w:rsidRPr="0045063D">
        <w:rPr>
          <w:rFonts w:ascii="Times New Roman" w:eastAsia="Calibri" w:hAnsi="Times New Roman" w:cs="Times New Roman"/>
          <w:sz w:val="24"/>
          <w:szCs w:val="24"/>
          <w:shd w:val="clear" w:color="auto" w:fill="92D050"/>
        </w:rPr>
        <w:t xml:space="preserve">. </w:t>
      </w:r>
      <w:r w:rsidR="007E25DF" w:rsidRPr="0045063D">
        <w:rPr>
          <w:rFonts w:ascii="Times New Roman" w:eastAsia="Calibri" w:hAnsi="Times New Roman" w:cs="Times New Roman"/>
          <w:sz w:val="24"/>
          <w:szCs w:val="24"/>
          <w:shd w:val="clear" w:color="auto" w:fill="92D050"/>
        </w:rPr>
        <w:t xml:space="preserve">It is necessary to appreciate and acknowledge the work of Conti Rossini for his contribution to </w:t>
      </w:r>
      <w:r w:rsidR="00794B72" w:rsidRPr="0045063D">
        <w:rPr>
          <w:rFonts w:ascii="Times New Roman" w:eastAsia="Calibri" w:hAnsi="Times New Roman" w:cs="Times New Roman"/>
          <w:sz w:val="24"/>
          <w:szCs w:val="24"/>
          <w:shd w:val="clear" w:color="auto" w:fill="92D050"/>
        </w:rPr>
        <w:t>translating</w:t>
      </w:r>
      <w:r w:rsidR="007E25DF" w:rsidRPr="0045063D">
        <w:rPr>
          <w:rFonts w:ascii="Times New Roman" w:eastAsia="Calibri" w:hAnsi="Times New Roman" w:cs="Times New Roman"/>
          <w:sz w:val="24"/>
          <w:szCs w:val="24"/>
          <w:shd w:val="clear" w:color="auto" w:fill="92D050"/>
        </w:rPr>
        <w:t xml:space="preserve"> the text that </w:t>
      </w:r>
      <w:r w:rsidR="00794B72" w:rsidRPr="0045063D">
        <w:rPr>
          <w:rFonts w:ascii="Times New Roman" w:eastAsia="Calibri" w:hAnsi="Times New Roman" w:cs="Times New Roman"/>
          <w:sz w:val="24"/>
          <w:szCs w:val="24"/>
          <w:shd w:val="clear" w:color="auto" w:fill="92D050"/>
        </w:rPr>
        <w:t>has used</w:t>
      </w:r>
      <w:r w:rsidRPr="0045063D">
        <w:rPr>
          <w:rFonts w:ascii="Times New Roman" w:eastAsia="Calibri" w:hAnsi="Times New Roman" w:cs="Times New Roman"/>
          <w:sz w:val="24"/>
          <w:szCs w:val="24"/>
          <w:shd w:val="clear" w:color="auto" w:fill="92D050"/>
        </w:rPr>
        <w:t xml:space="preserve"> as an important source in their research and published works.</w:t>
      </w:r>
      <w:r w:rsidRPr="004C5955">
        <w:rPr>
          <w:rFonts w:ascii="Times New Roman" w:eastAsia="Calibri" w:hAnsi="Times New Roman" w:cs="Times New Roman"/>
          <w:sz w:val="24"/>
          <w:szCs w:val="24"/>
        </w:rPr>
        <w:t xml:space="preserve"> The edition along with </w:t>
      </w:r>
      <w:r w:rsidR="00794B72" w:rsidRPr="004C5955">
        <w:rPr>
          <w:rFonts w:ascii="Times New Roman" w:eastAsia="Calibri" w:hAnsi="Times New Roman" w:cs="Times New Roman"/>
          <w:sz w:val="24"/>
          <w:szCs w:val="24"/>
        </w:rPr>
        <w:t xml:space="preserve">an </w:t>
      </w:r>
      <w:r w:rsidRPr="004C5955">
        <w:rPr>
          <w:rFonts w:ascii="Times New Roman" w:eastAsia="Calibri" w:hAnsi="Times New Roman" w:cs="Times New Roman"/>
          <w:sz w:val="24"/>
          <w:szCs w:val="24"/>
        </w:rPr>
        <w:t xml:space="preserve">Italian translation was published in the </w:t>
      </w:r>
      <w:r w:rsidRPr="004C5955">
        <w:rPr>
          <w:rFonts w:ascii="Times New Roman" w:eastAsia="Calibri" w:hAnsi="Times New Roman" w:cs="Times New Roman"/>
          <w:i/>
          <w:sz w:val="24"/>
          <w:szCs w:val="24"/>
        </w:rPr>
        <w:t>Journal of Revista degli studi orientali in 1942</w:t>
      </w:r>
      <w:r w:rsidRPr="004C5955">
        <w:rPr>
          <w:rFonts w:ascii="Times New Roman" w:eastAsia="Calibri" w:hAnsi="Times New Roman" w:cs="Times New Roman"/>
          <w:sz w:val="24"/>
          <w:szCs w:val="24"/>
        </w:rPr>
        <w:t>. It is identified with the title ‘</w:t>
      </w:r>
      <w:r w:rsidRPr="004C5955">
        <w:rPr>
          <w:rFonts w:ascii="Times New Roman" w:eastAsia="Calibri" w:hAnsi="Times New Roman" w:cs="Times New Roman"/>
          <w:i/>
          <w:sz w:val="24"/>
          <w:szCs w:val="24"/>
        </w:rPr>
        <w:t>Iyasu I, red’Etiopia e martire</w:t>
      </w:r>
      <w:r w:rsidRPr="004C5955">
        <w:rPr>
          <w:rFonts w:ascii="Times New Roman" w:eastAsia="Calibri" w:hAnsi="Times New Roman" w:cs="Times New Roman"/>
          <w:sz w:val="24"/>
          <w:szCs w:val="24"/>
        </w:rPr>
        <w:t xml:space="preserve">’ (‘Iyasu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Gə‘əz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Yohannəs IV's name is mentioned in the following formulaic sentence </w:t>
      </w:r>
      <w:r w:rsidRPr="004C5955">
        <w:rPr>
          <w:rFonts w:ascii="Nyala" w:eastAsia="Ethiopic Unicode" w:hAnsi="Nyala" w:cs="Nyala"/>
          <w:sz w:val="24"/>
          <w:szCs w:val="24"/>
        </w:rPr>
        <w:t>ጸሎቱ፡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ወበረከቱ፡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ለዝንቱ፡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ስም፡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ኢያሱ፡</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የሀሉ፡</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ምስለ፡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ዮሐንስ፡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ወምስለ፡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ኩልነ፡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ሰማዕያን።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ለዓለመ፡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ዓለም።</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honoured by name, our King Iyasu, be with our King Yoḥannǝs and with all of us who listen, for all ages.’). Given the fact that the text was commissioned by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Yohannǝs, one might assume that the text might be dated to the reign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Yohannǝs IV (r. 1872-1889).</w:t>
      </w:r>
    </w:p>
    <w:p w:rsidR="00794B72" w:rsidRPr="004C5955" w:rsidRDefault="00794B72" w:rsidP="00694CEE">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lastRenderedPageBreak/>
        <w:t xml:space="preserve"> Paris, </w:t>
      </w:r>
      <w:r w:rsidRPr="004C5955">
        <w:rPr>
          <w:rFonts w:ascii="Times New Roman" w:eastAsia="Ethiopic Unicode" w:hAnsi="Times New Roman" w:cs="Times New Roman"/>
          <w:b/>
          <w:i/>
          <w:sz w:val="24"/>
          <w:szCs w:val="24"/>
        </w:rPr>
        <w:t>Bibliothèque Nationale de France</w:t>
      </w:r>
      <w:r w:rsidRPr="004C5955">
        <w:rPr>
          <w:rFonts w:ascii="Times New Roman" w:eastAsia="Ethiopic Unicode" w:hAnsi="Times New Roman" w:cs="Times New Roman"/>
          <w:b/>
          <w:sz w:val="24"/>
          <w:szCs w:val="24"/>
        </w:rPr>
        <w:t xml:space="preserve">, </w:t>
      </w:r>
      <w:r w:rsidRPr="004C5955">
        <w:rPr>
          <w:rFonts w:ascii="Times New Roman" w:eastAsia="Ethiopic Unicode" w:hAnsi="Times New Roman" w:cs="Times New Roman"/>
          <w:b/>
          <w:i/>
          <w:sz w:val="24"/>
          <w:szCs w:val="24"/>
        </w:rPr>
        <w:t>Éth</w:t>
      </w:r>
      <w:r w:rsidRPr="004C5955">
        <w:rPr>
          <w:rFonts w:ascii="Times New Roman" w:eastAsia="Ethiopic Unicode" w:hAnsi="Times New Roman" w:cs="Times New Roman"/>
          <w:b/>
          <w:sz w:val="24"/>
          <w:szCs w:val="24"/>
        </w:rPr>
        <w:t>. 338, Grèbaut 1941, 1 (no.34), ff. 1v 56r.</w:t>
      </w:r>
    </w:p>
    <w:p w:rsidR="00AF0F9D" w:rsidRPr="004C5955" w:rsidRDefault="00AF0F9D" w:rsidP="00694CEE">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r w:rsidRPr="004C5955">
        <w:rPr>
          <w:rFonts w:ascii="Times New Roman" w:eastAsia="Ethiopic Unicode" w:hAnsi="Times New Roman" w:cs="Times New Roman"/>
          <w:i/>
          <w:sz w:val="24"/>
          <w:szCs w:val="24"/>
        </w:rPr>
        <w:t>Bibliothèque Nationale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r w:rsidRPr="004C5955">
        <w:rPr>
          <w:rFonts w:ascii="Times New Roman" w:eastAsia="Ethiopic Unicode" w:hAnsi="Times New Roman" w:cs="Times New Roman"/>
          <w:i/>
          <w:sz w:val="24"/>
          <w:szCs w:val="24"/>
        </w:rPr>
        <w:t>Mälk</w:t>
      </w:r>
      <w:r w:rsidRPr="004C5955">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r w:rsidRPr="003009E7">
        <w:rPr>
          <w:rFonts w:ascii="Times New Roman" w:eastAsia="Ethiopic Unicode" w:hAnsi="Times New Roman" w:cs="Times New Roman"/>
          <w:i/>
          <w:sz w:val="24"/>
          <w:szCs w:val="24"/>
          <w:shd w:val="clear" w:color="auto" w:fill="FFFF00"/>
        </w:rPr>
        <w:t>G</w:t>
      </w:r>
      <w:r w:rsidRPr="003009E7">
        <w:rPr>
          <w:rFonts w:ascii="Times New Roman" w:eastAsia="Ethiopic Unicode" w:hAnsi="Times New Roman" w:cs="Times New Roman"/>
          <w:i/>
          <w:sz w:val="24"/>
          <w:szCs w:val="24"/>
          <w:shd w:val="clear" w:color="auto" w:fill="FFFF00"/>
          <w:vertAlign w:val="superscript"/>
        </w:rPr>
        <w:t>w</w:t>
      </w:r>
      <w:r w:rsidRPr="003009E7">
        <w:rPr>
          <w:rFonts w:ascii="Times New Roman" w:eastAsia="Ethiopic Unicode" w:hAnsi="Times New Roman" w:cs="Times New Roman"/>
          <w:i/>
          <w:sz w:val="24"/>
          <w:szCs w:val="24"/>
          <w:shd w:val="clear" w:color="auto" w:fill="FFFF00"/>
        </w:rPr>
        <w:t>ɘlḫ</w:t>
      </w:r>
      <w:r w:rsidRPr="004C5955">
        <w:rPr>
          <w:rFonts w:ascii="Times New Roman" w:eastAsia="Ethiopic Unicode" w:hAnsi="Times New Roman" w:cs="Times New Roman"/>
          <w:sz w:val="24"/>
          <w:szCs w:val="24"/>
          <w:vertAlign w:val="superscript"/>
        </w:rPr>
        <w:footnoteReference w:id="40"/>
      </w:r>
      <w:r w:rsidRPr="004C5955">
        <w:rPr>
          <w:rFonts w:ascii="Times New Roman" w:eastAsia="Ethiopic Unicode" w:hAnsi="Times New Roman" w:cs="Times New Roman"/>
          <w:sz w:val="24"/>
          <w:szCs w:val="24"/>
        </w:rPr>
        <w:t xml:space="preserve"> on modern parchement with holes and sewing. The text is important in that it contains the </w:t>
      </w:r>
      <w:r w:rsidRPr="003009E7">
        <w:rPr>
          <w:rFonts w:ascii="Times New Roman" w:eastAsia="Ethiopic Unicode" w:hAnsi="Times New Roman" w:cs="Times New Roman"/>
          <w:i/>
          <w:sz w:val="24"/>
          <w:szCs w:val="24"/>
          <w:shd w:val="clear" w:color="auto" w:fill="FFFF00"/>
        </w:rPr>
        <w:t>Mälk</w:t>
      </w:r>
      <w:r w:rsidRPr="004C5955">
        <w:rPr>
          <w:rFonts w:ascii="Times New Roman" w:eastAsia="Ethiopic Unicode" w:hAnsi="Times New Roman" w:cs="Times New Roman"/>
          <w:i/>
          <w:sz w:val="24"/>
          <w:szCs w:val="24"/>
        </w:rPr>
        <w:t xml:space="preserve"> </w:t>
      </w:r>
      <w:r w:rsidRPr="004C5955">
        <w:rPr>
          <w:rFonts w:ascii="Times New Roman" w:eastAsia="Ethiopic Unicode" w:hAnsi="Times New Roman" w:cs="Times New Roman"/>
          <w:sz w:val="24"/>
          <w:szCs w:val="24"/>
        </w:rPr>
        <w:t xml:space="preserve">section missing in IES. The </w:t>
      </w:r>
      <w:r w:rsidR="00794B72" w:rsidRPr="003009E7">
        <w:rPr>
          <w:rFonts w:ascii="Times New Roman" w:eastAsia="Ethiopic Unicode" w:hAnsi="Times New Roman" w:cs="Times New Roman"/>
          <w:sz w:val="24"/>
          <w:szCs w:val="24"/>
          <w:shd w:val="clear" w:color="auto" w:fill="FFFF00"/>
        </w:rPr>
        <w:t>scribe</w:t>
      </w:r>
      <w:r w:rsidRPr="004C5955">
        <w:rPr>
          <w:rFonts w:ascii="Times New Roman" w:eastAsia="Ethiopic Unicode" w:hAnsi="Times New Roman" w:cs="Times New Roman"/>
          <w:sz w:val="24"/>
          <w:szCs w:val="24"/>
        </w:rPr>
        <w:t xml:space="preserve"> of this manuscript is not indicated. In his catalogue, Grèbaut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337D2D99" wp14:editId="644B0A77">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Cs/>
          <w:sz w:val="24"/>
          <w:szCs w:val="24"/>
        </w:rPr>
      </w:pPr>
      <w:bookmarkStart w:id="3"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Pr="004C5955">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Gädlä Adyam Sägäd Iyasu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r w:rsidRPr="004C5955">
        <w:rPr>
          <w:rFonts w:ascii="Times New Roman" w:hAnsi="Times New Roman" w:cs="Times New Roman"/>
          <w:bCs/>
          <w:sz w:val="24"/>
          <w:szCs w:val="24"/>
        </w:rPr>
        <w:t>BnF library</w:t>
      </w:r>
      <w:bookmarkEnd w:id="3"/>
    </w:p>
    <w:p w:rsidR="00AF0F9D" w:rsidRPr="004C5955" w:rsidRDefault="00AF0F9D" w:rsidP="00694CEE">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694CEE">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lastRenderedPageBreak/>
        <w:t xml:space="preserve">This manuscript of the hagiography housed in the IES at Addis Ababa University. </w:t>
      </w:r>
      <w:r w:rsidRPr="004C5955">
        <w:rPr>
          <w:rFonts w:ascii="Times New Roman" w:hAnsi="Times New Roman" w:cs="Times New Roman"/>
          <w:sz w:val="24"/>
          <w:szCs w:val="24"/>
        </w:rPr>
        <w:t xml:space="preserve">This manuscript contains 68 folios (136 pages), the folio measures about 17 cm by 12 cm. Each foilo </w:t>
      </w:r>
      <w:r w:rsidRPr="003009E7">
        <w:rPr>
          <w:rFonts w:ascii="Times New Roman" w:hAnsi="Times New Roman" w:cs="Times New Roman"/>
          <w:sz w:val="24"/>
          <w:szCs w:val="24"/>
          <w:shd w:val="clear" w:color="auto" w:fill="FFFF00"/>
        </w:rPr>
        <w:t xml:space="preserve">consists </w:t>
      </w:r>
      <w:r w:rsidR="003009E7" w:rsidRPr="003009E7">
        <w:rPr>
          <w:rFonts w:ascii="Times New Roman" w:hAnsi="Times New Roman" w:cs="Times New Roman"/>
          <w:sz w:val="24"/>
          <w:szCs w:val="24"/>
          <w:shd w:val="clear" w:color="auto" w:fill="FFFF00"/>
        </w:rPr>
        <w:t>of</w:t>
      </w:r>
      <w:r w:rsidR="003009E7" w:rsidRPr="004C5955">
        <w:rPr>
          <w:rFonts w:ascii="Times New Roman" w:hAnsi="Times New Roman" w:cs="Times New Roman"/>
          <w:sz w:val="24"/>
          <w:szCs w:val="24"/>
        </w:rPr>
        <w:t xml:space="preserve"> two</w:t>
      </w:r>
      <w:r w:rsidRPr="004C5955">
        <w:rPr>
          <w:rFonts w:ascii="Times New Roman" w:hAnsi="Times New Roman" w:cs="Times New Roman"/>
          <w:sz w:val="24"/>
          <w:szCs w:val="24"/>
        </w:rPr>
        <w:t xml:space="preserve"> columns of text which are written in a fine bold hand; the number of lines to the column is 15. The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Getatchew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Yoḥannǝs who prayed for, could be emperor Yoḥannǝs</w:t>
      </w:r>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r w:rsidR="00583E58" w:rsidRPr="004C5955">
        <w:rPr>
          <w:rFonts w:ascii="Times New Roman" w:eastAsia="Ethiopic Unicode" w:hAnsi="Times New Roman" w:cs="Times New Roman"/>
          <w:i/>
          <w:sz w:val="24"/>
          <w:szCs w:val="24"/>
        </w:rPr>
        <w:t>Mälk</w:t>
      </w:r>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694CEE">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4327FCD8" wp14:editId="701BC188">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694CEE">
      <w:pPr>
        <w:spacing w:after="120" w:line="360" w:lineRule="auto"/>
        <w:jc w:val="center"/>
        <w:rPr>
          <w:rFonts w:ascii="Times New Roman" w:hAnsi="Times New Roman" w:cs="Times New Roman"/>
          <w:b/>
          <w:bCs/>
          <w:sz w:val="24"/>
          <w:szCs w:val="24"/>
        </w:rPr>
      </w:pPr>
      <w:bookmarkStart w:id="4"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Pr="004C5955">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Gädlä Adyam Sägäd Iyasu </w:t>
      </w:r>
      <w:r w:rsidRPr="003009E7">
        <w:rPr>
          <w:rFonts w:ascii="Times New Roman" w:hAnsi="Times New Roman" w:cs="Times New Roman"/>
          <w:b/>
          <w:bCs/>
          <w:sz w:val="24"/>
          <w:szCs w:val="24"/>
          <w:shd w:val="clear" w:color="auto" w:fill="FFFF00"/>
        </w:rPr>
        <w:t xml:space="preserve">housed </w:t>
      </w:r>
      <w:r w:rsidR="00583E58">
        <w:rPr>
          <w:rFonts w:ascii="Times New Roman" w:hAnsi="Times New Roman" w:cs="Times New Roman"/>
          <w:b/>
          <w:bCs/>
          <w:sz w:val="24"/>
          <w:szCs w:val="24"/>
        </w:rPr>
        <w:t>in</w:t>
      </w:r>
      <w:r w:rsidRPr="004C5955">
        <w:rPr>
          <w:rFonts w:ascii="Times New Roman" w:hAnsi="Times New Roman" w:cs="Times New Roman"/>
          <w:b/>
          <w:bCs/>
          <w:sz w:val="24"/>
          <w:szCs w:val="24"/>
        </w:rPr>
        <w:t xml:space="preserve"> IES library</w:t>
      </w:r>
      <w:bookmarkEnd w:id="4"/>
    </w:p>
    <w:p w:rsidR="00AF0F9D" w:rsidRPr="004C5955" w:rsidRDefault="00AF0F9D" w:rsidP="00694CEE">
      <w:pPr>
        <w:spacing w:after="160" w:line="360" w:lineRule="auto"/>
        <w:jc w:val="both"/>
        <w:rPr>
          <w:rFonts w:ascii="Times New Roman" w:eastAsia="Calibri" w:hAnsi="Times New Roman" w:cs="Times New Roman"/>
          <w:b/>
          <w:sz w:val="24"/>
          <w:szCs w:val="24"/>
        </w:rPr>
      </w:pPr>
    </w:p>
    <w:p w:rsidR="00AF0F9D" w:rsidRPr="004C5955" w:rsidRDefault="00AF0F9D" w:rsidP="00694CEE">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Chronicle of </w:t>
      </w:r>
      <w:r w:rsidRPr="004C5955">
        <w:rPr>
          <w:rFonts w:ascii="Times New Roman" w:eastAsia="Calibri" w:hAnsi="Times New Roman" w:cs="Times New Roman"/>
          <w:b/>
          <w:i/>
          <w:sz w:val="24"/>
          <w:szCs w:val="24"/>
        </w:rPr>
        <w:t xml:space="preserve">aṣe </w:t>
      </w:r>
      <w:r w:rsidRPr="004C5955">
        <w:rPr>
          <w:rFonts w:ascii="Times New Roman" w:eastAsia="Calibri" w:hAnsi="Times New Roman" w:cs="Times New Roman"/>
          <w:b/>
          <w:sz w:val="24"/>
          <w:szCs w:val="24"/>
        </w:rPr>
        <w:t>Iyasu I:</w:t>
      </w:r>
    </w:p>
    <w:p w:rsidR="00AF0F9D" w:rsidRPr="00583E58" w:rsidRDefault="00583E58" w:rsidP="00583E58">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lastRenderedPageBreak/>
        <w:t xml:space="preserve"> T</w:t>
      </w:r>
      <w:r w:rsidR="00AF0F9D" w:rsidRPr="00583E58">
        <w:rPr>
          <w:rFonts w:ascii="Times New Roman" w:eastAsiaTheme="majorEastAsia" w:hAnsi="Times New Roman" w:cs="Times New Roman"/>
          <w:b/>
          <w:sz w:val="24"/>
          <w:szCs w:val="24"/>
          <w:lang w:bidi="en-US"/>
        </w:rPr>
        <w:t>ranslated and edited by Ignaizio Gudi, Paris 1903, pp. 57-269.</w:t>
      </w:r>
    </w:p>
    <w:p w:rsidR="00AF0F9D" w:rsidRPr="004C5955" w:rsidRDefault="00AF0F9D" w:rsidP="00694CEE">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Guidi in 1903 on the basis of two manuscripts, namely Paris, BN d’Abbadie 167, nineteenth-century and Oxford, BB; Cod, Aeth.31, eighteenth century, which appeared together with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bCs/>
          <w:sz w:val="24"/>
          <w:szCs w:val="24"/>
        </w:rPr>
        <w:t xml:space="preserve">Yohannǝs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Bäkaffa under the title </w:t>
      </w:r>
      <w:r w:rsidRPr="004C5955">
        <w:rPr>
          <w:rFonts w:ascii="Times New Roman" w:hAnsi="Times New Roman" w:cs="Times New Roman"/>
          <w:i/>
          <w:sz w:val="24"/>
          <w:szCs w:val="24"/>
        </w:rPr>
        <w:t xml:space="preserve">Annales Iohannis I, Iyāsu I, Bakaffa (Choronicle of </w:t>
      </w:r>
      <w:r w:rsidRPr="004C5955">
        <w:rPr>
          <w:rFonts w:ascii="Times New Roman" w:eastAsia="Calibri" w:hAnsi="Times New Roman" w:cs="Times New Roman"/>
          <w:bCs/>
          <w:i/>
          <w:sz w:val="24"/>
          <w:szCs w:val="24"/>
        </w:rPr>
        <w:t>Yohannǝs</w:t>
      </w:r>
      <w:r w:rsidRPr="004C5955">
        <w:rPr>
          <w:rFonts w:ascii="Times New Roman" w:hAnsi="Times New Roman" w:cs="Times New Roman"/>
          <w:i/>
          <w:sz w:val="24"/>
          <w:szCs w:val="24"/>
        </w:rPr>
        <w:t xml:space="preserve"> I, Iyasu I, Bäkaffa)</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Gə’əz and covers three hundred forty-six pages in a modern printed book, the part of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Iyasu I covers two hundred eight pages from pp. 59 – 267.</w:t>
      </w:r>
    </w:p>
    <w:p w:rsidR="00AF0F9D" w:rsidRPr="004C5955" w:rsidRDefault="00AF0F9D" w:rsidP="00694CEE">
      <w:pPr>
        <w:spacing w:after="160" w:line="360" w:lineRule="auto"/>
        <w:contextualSpacing/>
        <w:jc w:val="both"/>
        <w:rPr>
          <w:rFonts w:ascii="Times New Roman" w:eastAsia="Calibri" w:hAnsi="Times New Roman" w:cs="Times New Roman"/>
          <w:sz w:val="24"/>
          <w:szCs w:val="24"/>
          <w:lang w:bidi="en-US"/>
        </w:rPr>
      </w:pPr>
    </w:p>
    <w:p w:rsidR="00AF0F9D" w:rsidRPr="004C5955" w:rsidRDefault="00583E58" w:rsidP="00583E58">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694CEE">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cms. It contains 61 pages with one column on each page. The chronicle is written in Gǝʿǝz and the history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Iyasu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Səlassie I (r. 1930-74). The text also contains the chronicle of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Iyasu I and </w:t>
      </w:r>
      <w:r w:rsidRPr="004C5955">
        <w:rPr>
          <w:rFonts w:ascii="Times New Roman" w:eastAsia="Calibri" w:hAnsi="Times New Roman" w:cs="Times New Roman"/>
          <w:i/>
          <w:sz w:val="24"/>
          <w:szCs w:val="24"/>
        </w:rPr>
        <w:t xml:space="preserve">aṣe </w:t>
      </w:r>
      <w:r w:rsidRPr="004C5955">
        <w:rPr>
          <w:rFonts w:ascii="Times New Roman" w:eastAsia="Calibri" w:hAnsi="Times New Roman" w:cs="Times New Roman"/>
          <w:sz w:val="24"/>
          <w:szCs w:val="24"/>
        </w:rPr>
        <w:t xml:space="preserve">Bakaffa. </w:t>
      </w:r>
    </w:p>
    <w:p w:rsidR="00AF0F9D" w:rsidRPr="004C5955" w:rsidRDefault="00AF0F9D" w:rsidP="00694CEE">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extant copies of the HI and the CI, Conti Rossini’s edition and Guidi's edition is selected as the base text for </w:t>
      </w:r>
      <w:r w:rsidRPr="009C47C9">
        <w:rPr>
          <w:rFonts w:ascii="Times New Roman" w:eastAsia="Calibri" w:hAnsi="Times New Roman" w:cs="Times New Roman"/>
          <w:sz w:val="24"/>
          <w:szCs w:val="24"/>
          <w:shd w:val="clear" w:color="auto" w:fill="FFFF00"/>
        </w:rPr>
        <w:t xml:space="preserve">this </w:t>
      </w:r>
      <w:r w:rsidR="00A72338" w:rsidRPr="009C47C9">
        <w:rPr>
          <w:rFonts w:ascii="Times New Roman" w:eastAsia="Calibri" w:hAnsi="Times New Roman" w:cs="Times New Roman"/>
          <w:sz w:val="24"/>
          <w:szCs w:val="24"/>
          <w:shd w:val="clear" w:color="auto" w:fill="FFFF00"/>
        </w:rPr>
        <w:t>article</w:t>
      </w:r>
      <w:r w:rsidRPr="004C5955">
        <w:rPr>
          <w:rFonts w:ascii="Times New Roman" w:eastAsia="Calibri" w:hAnsi="Times New Roman" w:cs="Times New Roman"/>
          <w:sz w:val="24"/>
          <w:szCs w:val="24"/>
        </w:rPr>
        <w:t xml:space="preserve"> for three reasons. First, both </w:t>
      </w:r>
      <w:r w:rsidR="009C47C9" w:rsidRPr="009C47C9">
        <w:rPr>
          <w:rFonts w:ascii="Times New Roman" w:eastAsia="Calibri" w:hAnsi="Times New Roman" w:cs="Times New Roman"/>
          <w:sz w:val="24"/>
          <w:szCs w:val="24"/>
          <w:shd w:val="clear" w:color="auto" w:fill="FFFF00"/>
        </w:rPr>
        <w:t>manuscript witnesses</w:t>
      </w:r>
      <w:r w:rsidRPr="004C5955">
        <w:rPr>
          <w:rFonts w:ascii="Times New Roman" w:eastAsia="Calibri" w:hAnsi="Times New Roman" w:cs="Times New Roman"/>
          <w:sz w:val="24"/>
          <w:szCs w:val="24"/>
        </w:rPr>
        <w:t xml:space="preserve"> differ considerably in its length and some other minor details. However, the others</w:t>
      </w:r>
      <w:r w:rsidR="00387915" w:rsidRPr="004C5955">
        <w:rPr>
          <w:rFonts w:ascii="Times New Roman" w:eastAsia="Calibri" w:hAnsi="Times New Roman" w:cs="Times New Roman"/>
          <w:sz w:val="24"/>
          <w:szCs w:val="24"/>
        </w:rPr>
        <w:t xml:space="preserve"> </w:t>
      </w:r>
      <w:r w:rsidR="00387915" w:rsidRPr="009C47C9">
        <w:rPr>
          <w:rFonts w:ascii="Times New Roman" w:eastAsia="Calibri" w:hAnsi="Times New Roman" w:cs="Times New Roman"/>
          <w:sz w:val="24"/>
          <w:szCs w:val="24"/>
          <w:shd w:val="clear" w:color="auto" w:fill="FFFF00"/>
        </w:rPr>
        <w:t>manuscripts</w:t>
      </w:r>
      <w:r w:rsidRPr="004C5955">
        <w:rPr>
          <w:rFonts w:ascii="Times New Roman" w:eastAsia="Calibri" w:hAnsi="Times New Roman" w:cs="Times New Roman"/>
          <w:sz w:val="24"/>
          <w:szCs w:val="24"/>
        </w:rPr>
        <w:t xml:space="preserve"> agreed on the basic outline of the story. Second, the most important point to be aware of is that Conti Rossin’s and Guidi’s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w:t>
      </w:r>
      <w:r w:rsidRPr="004C5955">
        <w:rPr>
          <w:rFonts w:ascii="Times New Roman" w:eastAsia="Calibri" w:hAnsi="Times New Roman" w:cs="Times New Roman"/>
          <w:sz w:val="24"/>
          <w:szCs w:val="24"/>
        </w:rPr>
        <w:lastRenderedPageBreak/>
        <w:t>textual analysis works on the textual evidence. The third reason is the suitable text layout and its accessibility on paper.</w:t>
      </w:r>
    </w:p>
    <w:p w:rsidR="00AF0F9D" w:rsidRPr="004C5955" w:rsidRDefault="00146473" w:rsidP="00694CEE">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5"/>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9C47C9">
      <w:pPr>
        <w:shd w:val="clear" w:color="auto" w:fill="92D050"/>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694CEE">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r w:rsidR="00E82C60" w:rsidRPr="004C5955">
        <w:rPr>
          <w:rFonts w:ascii="Times New Roman" w:hAnsi="Times New Roman" w:cs="Times New Roman"/>
          <w:bCs/>
          <w:i/>
          <w:sz w:val="24"/>
          <w:szCs w:val="24"/>
        </w:rPr>
        <w:t>aṣe</w:t>
      </w:r>
      <w:r w:rsidRPr="004C5955">
        <w:rPr>
          <w:rFonts w:ascii="Times New Roman" w:hAnsi="Times New Roman" w:cs="Times New Roman"/>
          <w:bCs/>
          <w:sz w:val="24"/>
          <w:szCs w:val="24"/>
        </w:rPr>
        <w:t xml:space="preserve"> Iyasu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Solomonic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w:t>
      </w:r>
      <w:r w:rsidRPr="004C5955">
        <w:rPr>
          <w:rFonts w:ascii="Times New Roman" w:hAnsi="Times New Roman" w:cs="Times New Roman"/>
          <w:sz w:val="24"/>
          <w:szCs w:val="24"/>
        </w:rPr>
        <w:lastRenderedPageBreak/>
        <w:t>comparative analysis of words and phrase that described the King’s two foundational royal qualities is made below inorder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6" w:name="_Toc87456793"/>
    </w:p>
    <w:p w:rsidR="00AF0F9D" w:rsidRPr="004C5955" w:rsidRDefault="00146473" w:rsidP="0048164E">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Words and Phrase</w:t>
      </w:r>
      <w:r w:rsidR="00AF0F9D" w:rsidRPr="003009E7">
        <w:rPr>
          <w:rFonts w:ascii="Times New Roman" w:eastAsiaTheme="majorEastAsia" w:hAnsi="Times New Roman" w:cs="Times New Roman"/>
          <w:b/>
          <w:bCs/>
          <w:sz w:val="24"/>
          <w:szCs w:val="24"/>
          <w:shd w:val="clear" w:color="auto" w:fill="FFFF00"/>
          <w:lang w:bidi="en-US"/>
        </w:rPr>
        <w:t>s</w:t>
      </w:r>
      <w:r w:rsidR="00AF0F9D" w:rsidRPr="004C5955">
        <w:rPr>
          <w:rFonts w:ascii="Times New Roman" w:eastAsiaTheme="majorEastAsia" w:hAnsi="Times New Roman" w:cs="Times New Roman"/>
          <w:b/>
          <w:bCs/>
          <w:sz w:val="24"/>
          <w:szCs w:val="24"/>
          <w:lang w:bidi="en-US"/>
        </w:rPr>
        <w:t xml:space="preserve"> referring to the King’s Courage</w:t>
      </w:r>
      <w:bookmarkEnd w:id="6"/>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Iyasu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7" w:name="_Hlk46609652"/>
      <w:r w:rsidRPr="004C5955">
        <w:rPr>
          <w:rFonts w:ascii="Times New Roman" w:hAnsi="Times New Roman" w:cs="Times New Roman"/>
          <w:bCs/>
          <w:sz w:val="24"/>
          <w:szCs w:val="24"/>
        </w:rPr>
        <w:t xml:space="preserve">the HI and CI </w:t>
      </w:r>
      <w:bookmarkEnd w:id="7"/>
      <w:r w:rsidRPr="004C5955">
        <w:rPr>
          <w:rFonts w:ascii="Times New Roman" w:hAnsi="Times New Roman" w:cs="Times New Roman"/>
          <w:bCs/>
          <w:sz w:val="24"/>
          <w:szCs w:val="24"/>
        </w:rPr>
        <w:t xml:space="preserve">indicate that </w:t>
      </w:r>
      <w:bookmarkStart w:id="8" w:name="_Hlk46609359"/>
      <w:r w:rsidRPr="004C5955">
        <w:rPr>
          <w:rFonts w:ascii="Times New Roman" w:hAnsi="Times New Roman" w:cs="Times New Roman"/>
          <w:bCs/>
          <w:i/>
          <w:sz w:val="24"/>
          <w:szCs w:val="24"/>
        </w:rPr>
        <w:t xml:space="preserve">aṣe </w:t>
      </w:r>
      <w:r w:rsidRPr="004C5955">
        <w:rPr>
          <w:rFonts w:ascii="Times New Roman" w:hAnsi="Times New Roman" w:cs="Times New Roman"/>
          <w:bCs/>
          <w:sz w:val="24"/>
          <w:szCs w:val="24"/>
        </w:rPr>
        <w:t xml:space="preserve">Iyasu I </w:t>
      </w:r>
      <w:bookmarkEnd w:id="8"/>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4C5955">
        <w:rPr>
          <w:rFonts w:ascii="Times New Roman" w:hAnsi="Times New Roman" w:cs="Times New Roman"/>
          <w:bCs/>
          <w:sz w:val="24"/>
          <w:szCs w:val="24"/>
        </w:rPr>
        <w:t>courage</w:t>
      </w:r>
      <w:bookmarkEnd w:id="9"/>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
    </w:p>
    <w:p w:rsidR="00AF0F9D" w:rsidRPr="004C5955" w:rsidRDefault="00AF0F9D" w:rsidP="00694CEE">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1"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9C47C9">
        <w:trPr>
          <w:trHeight w:val="476"/>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አንበሳ</w:t>
            </w:r>
          </w:p>
        </w:tc>
        <w:tc>
          <w:tcPr>
            <w:tcW w:w="1791" w:type="dxa"/>
          </w:tcPr>
          <w:p w:rsidR="00AF0F9D" w:rsidRPr="004C5955" w:rsidRDefault="00AF0F9D" w:rsidP="00694CEE">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2</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ብርት</w:t>
            </w:r>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694CEE">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694CEE">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ንስር</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ወይጠል</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p>
        </w:tc>
        <w:tc>
          <w:tcPr>
            <w:tcW w:w="179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r w:rsidRPr="004C5955">
        <w:rPr>
          <w:rFonts w:ascii="Nyala" w:eastAsia="Ethiopic Unicode" w:hAnsi="Nyala" w:cs="Nyala"/>
          <w:sz w:val="24"/>
          <w:szCs w:val="24"/>
        </w:rPr>
        <w:t>አንበሳ</w:t>
      </w:r>
      <w:r w:rsidRPr="004C5955">
        <w:rPr>
          <w:rFonts w:ascii="Times New Roman" w:eastAsia="Ethiopic Unicode" w:hAnsi="Times New Roman" w:cs="Times New Roman"/>
          <w:sz w:val="24"/>
          <w:szCs w:val="24"/>
        </w:rPr>
        <w:t xml:space="preserve"> (‘Lion’), </w:t>
      </w:r>
      <w:r w:rsidRPr="004C5955">
        <w:rPr>
          <w:rFonts w:ascii="Nyala" w:eastAsia="Ethiopic Unicode" w:hAnsi="Nyala" w:cs="Nyala"/>
          <w:sz w:val="24"/>
          <w:szCs w:val="24"/>
        </w:rPr>
        <w:t>ብርት</w:t>
      </w:r>
      <w:r w:rsidRPr="004C5955">
        <w:rPr>
          <w:rFonts w:ascii="Times New Roman" w:eastAsia="Ethiopic Unicode" w:hAnsi="Times New Roman" w:cs="Times New Roman"/>
          <w:sz w:val="24"/>
          <w:szCs w:val="24"/>
        </w:rPr>
        <w:t xml:space="preserve"> (‘Iron’),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(‘Eagel’), </w:t>
      </w:r>
      <w:r w:rsidRPr="004C5955">
        <w:rPr>
          <w:rFonts w:ascii="Nyala" w:eastAsia="Ethiopic Unicode" w:hAnsi="Nyala" w:cs="Nyala"/>
          <w:sz w:val="24"/>
          <w:szCs w:val="24"/>
        </w:rPr>
        <w:t>ወይጠል</w:t>
      </w:r>
      <w:r w:rsidRPr="004C5955">
        <w:rPr>
          <w:rFonts w:ascii="Times New Roman" w:eastAsia="Ethiopic Unicode" w:hAnsi="Times New Roman" w:cs="Times New Roman"/>
          <w:sz w:val="24"/>
          <w:szCs w:val="24"/>
        </w:rPr>
        <w:t xml:space="preserve"> (‘Gazell’) and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Solomonic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 and </w:t>
      </w:r>
      <w:r w:rsidRPr="004C5955">
        <w:rPr>
          <w:rFonts w:ascii="Nyala" w:eastAsia="Ethiopic Unicode" w:hAnsi="Nyala" w:cs="Nyala"/>
          <w:sz w:val="24"/>
          <w:szCs w:val="24"/>
        </w:rPr>
        <w:t>ወይጠል</w:t>
      </w:r>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Dilamo, the leader of Gibe state. The animal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694CEE">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r w:rsidRPr="004C5955">
        <w:rPr>
          <w:rFonts w:ascii="Nyala" w:eastAsia="Ethiopic Unicode" w:hAnsi="Nyala" w:cs="Nyala"/>
          <w:sz w:val="24"/>
          <w:szCs w:val="24"/>
        </w:rPr>
        <w:t>ወራዙት</w:t>
      </w:r>
      <w:r w:rsidRPr="004C5955">
        <w:rPr>
          <w:rFonts w:ascii="Times New Roman" w:hAnsi="Times New Roman" w:cs="Times New Roman"/>
          <w:sz w:val="24"/>
          <w:szCs w:val="24"/>
        </w:rPr>
        <w:t xml:space="preserve"> (‘Youth’), </w:t>
      </w:r>
      <w:r w:rsidRPr="004C5955">
        <w:rPr>
          <w:rFonts w:ascii="Nyala" w:eastAsia="Ethiopic Unicode" w:hAnsi="Nyala" w:cs="Nyala"/>
          <w:sz w:val="24"/>
          <w:szCs w:val="24"/>
        </w:rPr>
        <w:t>ብርት</w:t>
      </w:r>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r w:rsidRPr="004C5955">
        <w:rPr>
          <w:rFonts w:ascii="Nyala" w:eastAsia="Ethiopic Unicode" w:hAnsi="Nyala" w:cs="Nyala"/>
          <w:sz w:val="24"/>
          <w:szCs w:val="24"/>
        </w:rPr>
        <w:t>ብርት</w:t>
      </w:r>
      <w:r w:rsidRPr="004C5955">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lastRenderedPageBreak/>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2" w:name="_Toc87455729"/>
      <w:r w:rsidRPr="004C5955">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694CEE">
            <w:pPr>
              <w:spacing w:line="360" w:lineRule="auto"/>
              <w:jc w:val="both"/>
              <w:rPr>
                <w:rFonts w:ascii="Times New Roman" w:eastAsia="Ethiopic Unicode" w:hAnsi="Times New Roman" w:cs="Times New Roman"/>
                <w:strike/>
                <w:sz w:val="24"/>
                <w:szCs w:val="24"/>
              </w:rPr>
            </w:pPr>
            <w:r w:rsidRPr="004C5955">
              <w:rPr>
                <w:rFonts w:ascii="Nyala" w:eastAsia="Ethiopic Unicode" w:hAnsi="Nyala" w:cs="Nyala"/>
                <w:sz w:val="24"/>
                <w:szCs w:val="24"/>
              </w:rPr>
              <w:t>ጸብዓ፡</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ልዕለ፡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694CEE">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ኀያላን፡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መደንገፀ፡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ቃተሌ፡</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እልፍ</w:t>
            </w:r>
          </w:p>
        </w:tc>
        <w:tc>
          <w:tcPr>
            <w:tcW w:w="34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694CEE">
      <w:pPr>
        <w:spacing w:after="0" w:line="360" w:lineRule="auto"/>
        <w:jc w:val="both"/>
        <w:rPr>
          <w:rFonts w:ascii="Times New Roman" w:hAnsi="Times New Roman" w:cs="Times New Roman"/>
          <w:sz w:val="24"/>
          <w:szCs w:val="24"/>
        </w:rPr>
      </w:pPr>
    </w:p>
    <w:p w:rsidR="00AF0F9D" w:rsidRPr="004C5955" w:rsidRDefault="00AF0F9D" w:rsidP="00694CEE">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is portrayed in connection with his strong pride. The author of the HI frequently refers to the King as </w:t>
      </w:r>
      <w:r w:rsidRPr="004C5955">
        <w:rPr>
          <w:rFonts w:ascii="Nyala" w:eastAsia="Ethiopic Unicode" w:hAnsi="Nyala" w:cs="Nyala"/>
          <w:sz w:val="24"/>
          <w:szCs w:val="24"/>
        </w:rPr>
        <w:t>ጸብዓ፡</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r w:rsidRPr="004C5955">
        <w:rPr>
          <w:rFonts w:ascii="Nyala" w:eastAsia="Ethiopic Unicode" w:hAnsi="Nyala" w:cs="Nyala"/>
          <w:sz w:val="24"/>
          <w:szCs w:val="24"/>
        </w:rPr>
        <w:t>ኀያላን፡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መዋዒ</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r w:rsidRPr="004C5955">
        <w:rPr>
          <w:rFonts w:ascii="Nyala" w:eastAsia="Ethiopic Unicode" w:hAnsi="Nyala" w:cs="Nyala"/>
          <w:sz w:val="24"/>
          <w:szCs w:val="24"/>
        </w:rPr>
        <w:t>ቃተሌ፡</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እልፍ</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r w:rsidRPr="004C5955">
        <w:rPr>
          <w:rFonts w:ascii="Nyala" w:eastAsia="Ethiopic Unicode" w:hAnsi="Nyala" w:cs="Nyala"/>
          <w:sz w:val="24"/>
          <w:szCs w:val="24"/>
        </w:rPr>
        <w:t>ዕበየ፡</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ግርማሁ፡</w:t>
      </w:r>
      <w:r w:rsidRPr="004C5955">
        <w:rPr>
          <w:rFonts w:ascii="Times New Roman" w:eastAsia="Ethiopic Unicode" w:hAnsi="Times New Roman" w:cs="Times New Roman"/>
          <w:sz w:val="24"/>
          <w:szCs w:val="24"/>
        </w:rPr>
        <w:t xml:space="preserve"> (‘Highest of the majesty’) and </w:t>
      </w:r>
      <w:r w:rsidRPr="004C5955">
        <w:rPr>
          <w:rFonts w:ascii="Nyala" w:eastAsia="Ethiopic Unicode" w:hAnsi="Nyala" w:cs="Nyala"/>
          <w:sz w:val="24"/>
          <w:szCs w:val="24"/>
        </w:rPr>
        <w:t>መደንገፀ፡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ግርማ፡</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14" w:name="_Toc87455730"/>
      <w:r w:rsidRPr="004C5955">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አንበሳ</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ድብ</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ንስር</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ግስላ</w:t>
            </w:r>
          </w:p>
        </w:tc>
        <w:tc>
          <w:tcPr>
            <w:tcW w:w="170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መስተጋድል</w:t>
            </w:r>
          </w:p>
        </w:tc>
        <w:tc>
          <w:tcPr>
            <w:tcW w:w="170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r w:rsidRPr="004C5955">
        <w:rPr>
          <w:rFonts w:ascii="Nyala" w:eastAsia="Ethiopic Unicode" w:hAnsi="Nyala" w:cs="Nyala"/>
          <w:sz w:val="24"/>
          <w:szCs w:val="24"/>
        </w:rPr>
        <w:t>አንበሳ</w:t>
      </w:r>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r w:rsidRPr="004C5955">
        <w:rPr>
          <w:rFonts w:ascii="Nyala" w:eastAsia="Ethiopic Unicode" w:hAnsi="Nyala" w:cs="Nyala"/>
          <w:sz w:val="24"/>
          <w:szCs w:val="24"/>
        </w:rPr>
        <w:t>ንስር</w:t>
      </w:r>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 compares the King with </w:t>
      </w:r>
      <w:r w:rsidRPr="004C5955">
        <w:rPr>
          <w:rFonts w:ascii="Nyala" w:eastAsia="Ethiopic Unicode" w:hAnsi="Nyala" w:cs="Nyala"/>
          <w:sz w:val="24"/>
          <w:szCs w:val="24"/>
        </w:rPr>
        <w:t>ግስላ</w:t>
      </w:r>
      <w:r w:rsidRPr="004C5955">
        <w:rPr>
          <w:rFonts w:ascii="Times New Roman" w:eastAsia="Ethiopic Unicode" w:hAnsi="Times New Roman" w:cs="Times New Roman"/>
          <w:sz w:val="24"/>
          <w:szCs w:val="24"/>
        </w:rPr>
        <w:t xml:space="preserve"> (‘Panther’) and </w:t>
      </w:r>
      <w:r w:rsidRPr="004C5955">
        <w:rPr>
          <w:rFonts w:ascii="Nyala" w:eastAsia="Ethiopic Unicode" w:hAnsi="Nyala" w:cs="Nyala"/>
          <w:sz w:val="24"/>
          <w:szCs w:val="24"/>
        </w:rPr>
        <w:t>ድብ</w:t>
      </w:r>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personality as a brave King is further attested in words such as: </w:t>
      </w:r>
      <w:r w:rsidRPr="004C5955">
        <w:rPr>
          <w:rFonts w:ascii="Nyala" w:eastAsia="Ethiopic Unicode" w:hAnsi="Nyala" w:cs="Nyala"/>
          <w:sz w:val="24"/>
          <w:szCs w:val="24"/>
        </w:rPr>
        <w:t>መስተጋድል</w:t>
      </w:r>
      <w:r w:rsidRPr="004C5955">
        <w:rPr>
          <w:rFonts w:ascii="Times New Roman" w:eastAsia="Ethiopic Unicode" w:hAnsi="Times New Roman" w:cs="Times New Roman"/>
          <w:sz w:val="24"/>
          <w:szCs w:val="24"/>
        </w:rPr>
        <w:t xml:space="preserve"> (‘Patriotic’) and </w:t>
      </w: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694CEE">
      <w:pPr>
        <w:spacing w:after="120" w:line="360" w:lineRule="auto"/>
        <w:jc w:val="center"/>
        <w:rPr>
          <w:rFonts w:ascii="Times New Roman" w:hAnsi="Times New Roman" w:cs="Times New Roman"/>
          <w:b/>
          <w:bCs/>
          <w:sz w:val="24"/>
          <w:szCs w:val="24"/>
        </w:rPr>
      </w:pPr>
      <w:bookmarkStart w:id="15" w:name="_Toc87455731"/>
      <w:r w:rsidRPr="004C5955">
        <w:rPr>
          <w:rFonts w:ascii="Times New Roman" w:hAnsi="Times New Roman" w:cs="Times New Roman"/>
          <w:b/>
          <w:bCs/>
          <w:sz w:val="24"/>
          <w:szCs w:val="24"/>
        </w:rPr>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ሠራዊት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4</w:t>
            </w:r>
          </w:p>
        </w:tc>
        <w:tc>
          <w:tcPr>
            <w:tcW w:w="252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p>
        </w:tc>
        <w:tc>
          <w:tcPr>
            <w:tcW w:w="267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r w:rsidRPr="004C5955">
        <w:rPr>
          <w:rFonts w:ascii="Nyala" w:eastAsia="Ethiopic Unicode" w:hAnsi="Nyala" w:cs="Nyala"/>
          <w:sz w:val="24"/>
          <w:szCs w:val="24"/>
        </w:rPr>
        <w:t>ወሬዛ፡</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ሠራዊት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ወምክሀ፡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ወራዙት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patriots</w:t>
      </w:r>
      <w:r w:rsidRPr="004C5955">
        <w:rPr>
          <w:rFonts w:ascii="Times New Roman" w:eastAsia="Ethiopic Unicode" w:hAnsi="Times New Roman" w:cs="Times New Roman"/>
          <w:sz w:val="24"/>
          <w:szCs w:val="24"/>
        </w:rPr>
        <w:t xml:space="preserve">’), and </w:t>
      </w: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xml:space="preserve">). These kinds of honorific titles can be </w:t>
      </w:r>
      <w:r w:rsidR="004164E7" w:rsidRPr="004164E7">
        <w:rPr>
          <w:rFonts w:ascii="Times New Roman" w:eastAsia="Ethiopic Unicode" w:hAnsi="Times New Roman" w:cs="Times New Roman"/>
          <w:sz w:val="24"/>
          <w:szCs w:val="24"/>
          <w:shd w:val="clear" w:color="auto" w:fill="FFFF00"/>
        </w:rPr>
        <w:t>appearing</w:t>
      </w:r>
      <w:r w:rsidR="00761B49" w:rsidRPr="004164E7">
        <w:rPr>
          <w:rFonts w:ascii="Times New Roman" w:eastAsia="Ethiopic Unicode" w:hAnsi="Times New Roman" w:cs="Times New Roman"/>
          <w:sz w:val="24"/>
          <w:szCs w:val="24"/>
          <w:shd w:val="clear" w:color="auto" w:fill="FFFF00"/>
        </w:rPr>
        <w:t xml:space="preserve"> </w:t>
      </w:r>
      <w:r w:rsidR="00761B49" w:rsidRPr="004C5955">
        <w:rPr>
          <w:rFonts w:ascii="Times New Roman" w:eastAsia="Ethiopic Unicode" w:hAnsi="Times New Roman" w:cs="Times New Roman"/>
          <w:sz w:val="24"/>
          <w:szCs w:val="24"/>
        </w:rPr>
        <w:t>in</w:t>
      </w:r>
      <w:r w:rsidRPr="004C5955">
        <w:rPr>
          <w:rFonts w:ascii="Times New Roman" w:eastAsia="Ethiopic Unicode" w:hAnsi="Times New Roman" w:cs="Times New Roman"/>
          <w:sz w:val="24"/>
          <w:szCs w:val="24"/>
        </w:rPr>
        <w:t xml:space="preserve"> other Solomonic Kings’ royal chronicles too.</w:t>
      </w:r>
      <w:r w:rsidR="005C15F9" w:rsidRPr="004C5955">
        <w:rPr>
          <w:rStyle w:val="FootnoteReference"/>
          <w:rFonts w:ascii="Times New Roman" w:eastAsia="Ethiopic Unicode" w:hAnsi="Times New Roman" w:cs="Times New Roman"/>
          <w:sz w:val="24"/>
          <w:szCs w:val="24"/>
        </w:rPr>
        <w:footnoteReference w:id="70"/>
      </w:r>
      <w:r w:rsidRPr="004C5955">
        <w:rPr>
          <w:rFonts w:ascii="Times New Roman" w:eastAsia="Ethiopic Unicode" w:hAnsi="Times New Roman" w:cs="Times New Roman"/>
          <w:sz w:val="24"/>
          <w:szCs w:val="24"/>
        </w:rPr>
        <w:t xml:space="preserve"> The phrase </w:t>
      </w:r>
      <w:r w:rsidRPr="004C5955">
        <w:rPr>
          <w:rFonts w:ascii="Nyala" w:eastAsia="Ethiopic Unicode" w:hAnsi="Nyala" w:cs="Nyala"/>
          <w:sz w:val="24"/>
          <w:szCs w:val="24"/>
        </w:rPr>
        <w:t>ወግዙፈ፡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ክሣድ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Vigorous neck’</w:t>
      </w:r>
      <w:r w:rsidRPr="004C5955">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6"/>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7"/>
    </w:p>
    <w:p w:rsidR="00AF0F9D" w:rsidRPr="004C5955" w:rsidRDefault="00AF0F9D" w:rsidP="00694CEE">
      <w:pPr>
        <w:spacing w:line="360" w:lineRule="auto"/>
        <w:ind w:firstLine="720"/>
        <w:jc w:val="both"/>
        <w:rPr>
          <w:rFonts w:ascii="Times New Roman" w:hAnsi="Times New Roman" w:cs="Times New Roman"/>
          <w:bCs/>
          <w:sz w:val="24"/>
          <w:szCs w:val="24"/>
        </w:rPr>
      </w:pPr>
      <w:bookmarkStart w:id="19" w:name="_Hlk46876903"/>
      <w:bookmarkEnd w:id="18"/>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0" w:name="_Toc87455732"/>
      <w:bookmarkEnd w:id="19"/>
      <w:r w:rsidRPr="004C5955">
        <w:rPr>
          <w:rFonts w:ascii="Times New Roman" w:hAnsi="Times New Roman" w:cs="Times New Roman"/>
          <w:b/>
          <w:bCs/>
          <w:sz w:val="24"/>
          <w:szCs w:val="24"/>
        </w:rPr>
        <w:lastRenderedPageBreak/>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ቅዱስ፡</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ሰማዕት፡</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መሲህ፡</w:t>
            </w:r>
          </w:p>
        </w:tc>
        <w:tc>
          <w:tcPr>
            <w:tcW w:w="1651"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w:t>
      </w:r>
      <w:r w:rsidRPr="004C5955">
        <w:rPr>
          <w:rFonts w:ascii="Nyala" w:eastAsia="Ethiopic Unicode" w:hAnsi="Nyala" w:cs="Nyala"/>
          <w:sz w:val="24"/>
          <w:szCs w:val="24"/>
        </w:rPr>
        <w:t>ሰማዕት</w:t>
      </w:r>
      <w:r w:rsidRPr="004C5955">
        <w:rPr>
          <w:rFonts w:ascii="Times New Roman" w:hAnsi="Times New Roman" w:cs="Times New Roman"/>
          <w:sz w:val="24"/>
          <w:szCs w:val="24"/>
        </w:rPr>
        <w:t xml:space="preserve"> (‘Martyr’), </w:t>
      </w:r>
      <w:r w:rsidRPr="004C5955">
        <w:rPr>
          <w:rFonts w:ascii="Nyala" w:eastAsia="Ethiopic Unicode" w:hAnsi="Nyala" w:cs="Nyala"/>
          <w:sz w:val="24"/>
          <w:szCs w:val="24"/>
        </w:rPr>
        <w:t>መሲህ</w:t>
      </w:r>
      <w:r w:rsidRPr="004C5955">
        <w:rPr>
          <w:rFonts w:ascii="Times New Roman" w:hAnsi="Times New Roman" w:cs="Times New Roman"/>
          <w:sz w:val="24"/>
          <w:szCs w:val="24"/>
        </w:rPr>
        <w:t xml:space="preserve"> (‘Messiah’).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r w:rsidRPr="004C5955">
        <w:rPr>
          <w:rFonts w:ascii="Nyala" w:eastAsia="Ethiopic Unicode" w:hAnsi="Nyala" w:cs="Nyala"/>
          <w:sz w:val="24"/>
          <w:szCs w:val="24"/>
        </w:rPr>
        <w:t>ቅዱስ</w:t>
      </w:r>
      <w:r w:rsidRPr="004C5955">
        <w:rPr>
          <w:rFonts w:ascii="Times New Roman" w:hAnsi="Times New Roman" w:cs="Times New Roman"/>
          <w:sz w:val="24"/>
          <w:szCs w:val="24"/>
        </w:rPr>
        <w:t xml:space="preserve"> (‘Holy’) is given to holy persons who have consecrated </w:t>
      </w:r>
      <w:r w:rsidRPr="004C5955">
        <w:rPr>
          <w:rFonts w:ascii="Times New Roman" w:hAnsi="Times New Roman" w:cs="Times New Roman"/>
          <w:i/>
          <w:sz w:val="24"/>
          <w:szCs w:val="24"/>
        </w:rPr>
        <w:t>tabot</w:t>
      </w:r>
      <w:r w:rsidRPr="004C5955">
        <w:rPr>
          <w:rFonts w:ascii="Times New Roman" w:hAnsi="Times New Roman" w:cs="Times New Roman"/>
          <w:sz w:val="24"/>
          <w:szCs w:val="24"/>
        </w:rPr>
        <w:t xml:space="preserve"> in their names and composed the </w:t>
      </w:r>
      <w:r w:rsidRPr="004C5955">
        <w:rPr>
          <w:rFonts w:ascii="Times New Roman" w:hAnsi="Times New Roman" w:cs="Times New Roman"/>
          <w:i/>
          <w:sz w:val="24"/>
          <w:szCs w:val="24"/>
        </w:rPr>
        <w:t>Gädl</w:t>
      </w:r>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Lalibäla, Yəmrəhannä Krəstos, 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 Lä’ab and Gälawdewos.</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speaKing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though the </w:t>
      </w:r>
      <w:r w:rsidR="00F56D7C" w:rsidRPr="004164E7">
        <w:rPr>
          <w:rFonts w:ascii="Times New Roman" w:hAnsi="Times New Roman" w:cs="Times New Roman"/>
          <w:sz w:val="24"/>
          <w:szCs w:val="24"/>
          <w:shd w:val="clear" w:color="auto" w:fill="FFFF00"/>
        </w:rPr>
        <w:t>Ethiopian Orthodox Täwaḥǝdo</w:t>
      </w:r>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r w:rsidRPr="004C5955">
        <w:rPr>
          <w:rFonts w:ascii="Nyala" w:eastAsia="Ethiopic Unicode" w:hAnsi="Nyala" w:cs="Nyala"/>
          <w:sz w:val="24"/>
          <w:szCs w:val="24"/>
        </w:rPr>
        <w:t>ሰማዕት</w:t>
      </w:r>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r w:rsidRPr="004C5955">
        <w:rPr>
          <w:rFonts w:ascii="Nyala" w:eastAsia="Ethiopic Unicode" w:hAnsi="Nyala" w:cs="Nyala"/>
          <w:sz w:val="24"/>
          <w:szCs w:val="24"/>
        </w:rPr>
        <w:t>ሰምዐ</w:t>
      </w:r>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r w:rsidRPr="004C5955">
        <w:rPr>
          <w:rFonts w:ascii="Nyala" w:eastAsia="Ethiopic Unicode" w:hAnsi="Nyala" w:cs="Nyala"/>
          <w:sz w:val="24"/>
          <w:szCs w:val="24"/>
        </w:rPr>
        <w:t>ሰማዕት</w:t>
      </w:r>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with the meaning ‘witness’ appears already in Ethiopic Bible. In the</w:t>
      </w:r>
      <w:r w:rsidR="00F56D7C" w:rsidRPr="004C5955">
        <w:rPr>
          <w:rFonts w:ascii="Times New Roman" w:hAnsi="Times New Roman" w:cs="Times New Roman"/>
          <w:sz w:val="24"/>
          <w:szCs w:val="24"/>
        </w:rPr>
        <w:t xml:space="preserve"> </w:t>
      </w:r>
      <w:r w:rsidR="00F56D7C" w:rsidRPr="004164E7">
        <w:rPr>
          <w:rFonts w:ascii="Times New Roman" w:hAnsi="Times New Roman" w:cs="Times New Roman"/>
          <w:sz w:val="24"/>
          <w:szCs w:val="24"/>
          <w:shd w:val="clear" w:color="auto" w:fill="FFFF00"/>
        </w:rPr>
        <w:t>New Testament</w:t>
      </w:r>
      <w:r w:rsidRPr="004C5955">
        <w:rPr>
          <w:rFonts w:ascii="Times New Roman" w:hAnsi="Times New Roman" w:cs="Times New Roman"/>
          <w:sz w:val="24"/>
          <w:szCs w:val="24"/>
        </w:rPr>
        <w:t xml:space="preserve">, for example, it is applied to Jesus Christ, accepting death punishment for his sake. In the Christian Oriental tradition of ‘King-as-martyr’ was known in Ethiopia through writings in their honor in </w:t>
      </w:r>
      <w:r w:rsidRPr="004C5955">
        <w:rPr>
          <w:rFonts w:ascii="Times New Roman" w:hAnsi="Times New Roman" w:cs="Times New Roman"/>
          <w:i/>
          <w:sz w:val="24"/>
          <w:szCs w:val="24"/>
        </w:rPr>
        <w:t>Gädl</w:t>
      </w:r>
      <w:r w:rsidRPr="004C5955">
        <w:rPr>
          <w:rFonts w:ascii="Times New Roman" w:hAnsi="Times New Roman" w:cs="Times New Roman"/>
          <w:sz w:val="24"/>
          <w:szCs w:val="24"/>
        </w:rPr>
        <w:t xml:space="preserve">, Ethiopic </w:t>
      </w:r>
      <w:r w:rsidRPr="004C5955">
        <w:rPr>
          <w:rFonts w:ascii="Times New Roman" w:hAnsi="Times New Roman" w:cs="Times New Roman"/>
          <w:i/>
          <w:sz w:val="24"/>
          <w:szCs w:val="24"/>
        </w:rPr>
        <w:t>Sǝnkǝssar</w:t>
      </w:r>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Gälawdewos who died at the hands of the Muslims. The second King was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Iyasu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Täwahədo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pro-qəbat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 was a martyr.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r w:rsidRPr="004C5955">
        <w:rPr>
          <w:rFonts w:ascii="Times New Roman" w:hAnsi="Times New Roman" w:cs="Times New Roman"/>
          <w:i/>
          <w:sz w:val="24"/>
          <w:szCs w:val="24"/>
        </w:rPr>
        <w:t xml:space="preserve">aṣe </w:t>
      </w:r>
      <w:r w:rsidRPr="004C5955">
        <w:rPr>
          <w:rFonts w:ascii="Times New Roman" w:hAnsi="Times New Roman" w:cs="Times New Roman"/>
          <w:sz w:val="24"/>
          <w:szCs w:val="24"/>
        </w:rPr>
        <w:t xml:space="preserve">Iyasu I’s sacred personality is illustrated in the HI can be found in the word: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as ‘one who anoints’ where he traces the origin to Greek ‘</w:t>
      </w:r>
      <w:r w:rsidRPr="004C5955">
        <w:rPr>
          <w:rFonts w:ascii="Times New Roman" w:hAnsi="Times New Roman" w:cs="Times New Roman"/>
          <w:i/>
          <w:sz w:val="24"/>
          <w:szCs w:val="24"/>
          <w:shd w:val="clear" w:color="auto" w:fill="FFFFFF"/>
        </w:rPr>
        <w:t>χριστός</w:t>
      </w:r>
      <w:r w:rsidRPr="004C5955">
        <w:rPr>
          <w:rFonts w:ascii="Times New Roman" w:eastAsia="Ethiopic Unicode" w:hAnsi="Times New Roman" w:cs="Times New Roman"/>
          <w:sz w:val="24"/>
          <w:szCs w:val="24"/>
        </w:rPr>
        <w:t xml:space="preserve">’, was taken over into Gǝʿǝz via Arabic. </w:t>
      </w:r>
      <w:r w:rsidRPr="004C5955">
        <w:rPr>
          <w:rFonts w:ascii="Times New Roman" w:hAnsi="Times New Roman" w:cs="Times New Roman"/>
          <w:sz w:val="24"/>
          <w:szCs w:val="24"/>
        </w:rPr>
        <w:t xml:space="preserve">It derived from the verb </w:t>
      </w:r>
      <w:r w:rsidRPr="004C5955">
        <w:rPr>
          <w:rFonts w:ascii="Nyala" w:eastAsia="Ethiopic Unicode" w:hAnsi="Nyala" w:cs="Nyala"/>
          <w:sz w:val="24"/>
          <w:szCs w:val="24"/>
        </w:rPr>
        <w:t>መስሐ</w:t>
      </w:r>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 (Makədda),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As the Solomonic King, the same is true for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 freed the Christians from Gibe and settled them to their homeland. </w:t>
      </w:r>
      <w:r w:rsidRPr="004C5955">
        <w:rPr>
          <w:rFonts w:ascii="Times New Roman" w:hAnsi="Times New Roman" w:cs="Times New Roman"/>
          <w:sz w:val="24"/>
          <w:szCs w:val="24"/>
        </w:rPr>
        <w:t xml:space="preserve">More specifically,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r w:rsidRPr="004C5955">
        <w:rPr>
          <w:rFonts w:ascii="Nyala" w:eastAsia="Ethiopic Unicode" w:hAnsi="Nyala" w:cs="Nyala"/>
          <w:sz w:val="24"/>
          <w:szCs w:val="24"/>
        </w:rPr>
        <w:t>መሲህ</w:t>
      </w:r>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rsidR="00AF0F9D" w:rsidRPr="004C5955" w:rsidRDefault="00AF0F9D" w:rsidP="00694CEE">
      <w:pPr>
        <w:spacing w:line="360" w:lineRule="auto"/>
        <w:ind w:firstLine="720"/>
        <w:jc w:val="both"/>
        <w:rPr>
          <w:rFonts w:ascii="Times New Roman" w:hAnsi="Times New Roman" w:cs="Times New Roman"/>
          <w:sz w:val="24"/>
          <w:szCs w:val="24"/>
        </w:rPr>
      </w:pP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1" w:name="_Toc87455733"/>
      <w:r w:rsidRPr="004C5955">
        <w:rPr>
          <w:rFonts w:ascii="Times New Roman" w:hAnsi="Times New Roman" w:cs="Times New Roman"/>
          <w:b/>
          <w:bCs/>
          <w:sz w:val="24"/>
          <w:szCs w:val="24"/>
        </w:rPr>
        <w:t>Table 7: Phrases referring to the King’s sacred personality in the HI</w:t>
      </w:r>
      <w:bookmarkEnd w:id="21"/>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ሠርጎ፡</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ክሕነት፡</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ማኅቶተ፡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ሥጋነ</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ዐቃቢነ፡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ትጉህ</w:t>
            </w:r>
          </w:p>
        </w:tc>
        <w:tc>
          <w:tcPr>
            <w:tcW w:w="3322"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694CEE">
      <w:pPr>
        <w:spacing w:line="360" w:lineRule="auto"/>
        <w:jc w:val="both"/>
        <w:rPr>
          <w:rFonts w:ascii="Times New Roman"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(‘Despise of the Kingdom’) is an emphatic title used in Gǝʿǝz to address the </w:t>
      </w:r>
      <w:r w:rsidRPr="004C5955">
        <w:rPr>
          <w:rFonts w:ascii="Times New Roman" w:eastAsia="Ethiopic Unicode" w:hAnsi="Times New Roman" w:cs="Times New Roman"/>
          <w:sz w:val="24"/>
          <w:szCs w:val="24"/>
        </w:rPr>
        <w:lastRenderedPageBreak/>
        <w:t xml:space="preserve">Ethiopian Kings. The term is made up of two Gǝʿǝz words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(‘Despise’) and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(‘Kingdom’). The first component, which was used independently as a title, is derived from the root word </w:t>
      </w:r>
      <w:r w:rsidRPr="004C5955">
        <w:rPr>
          <w:rFonts w:ascii="Nyala" w:eastAsia="Ethiopic Unicode" w:hAnsi="Nyala" w:cs="Nyala"/>
          <w:sz w:val="24"/>
          <w:szCs w:val="24"/>
        </w:rPr>
        <w:t>መነነ</w:t>
      </w:r>
      <w:r w:rsidRPr="004C5955">
        <w:rPr>
          <w:rFonts w:ascii="Times New Roman" w:eastAsia="Ethiopic Unicode" w:hAnsi="Times New Roman" w:cs="Times New Roman"/>
          <w:sz w:val="24"/>
          <w:szCs w:val="24"/>
        </w:rPr>
        <w:t xml:space="preserve"> (‘To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The King’s rejection of his Kingship and lived as a hermit in Cäqla Mänzo is probably the main historical reason why the author of the HI refers him as </w:t>
      </w:r>
      <w:r w:rsidRPr="004C5955">
        <w:rPr>
          <w:rFonts w:ascii="Nyala" w:eastAsia="Ethiopic Unicode" w:hAnsi="Nyala" w:cs="Nyala"/>
          <w:sz w:val="24"/>
          <w:szCs w:val="24"/>
        </w:rPr>
        <w:t>መናኔ፡</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መንግሥት</w:t>
      </w:r>
      <w:r w:rsidRPr="004C5955">
        <w:rPr>
          <w:rFonts w:ascii="Times New Roman" w:eastAsia="Ethiopic Unicode" w:hAnsi="Times New Roman" w:cs="Times New Roman"/>
          <w:sz w:val="24"/>
          <w:szCs w:val="24"/>
        </w:rPr>
        <w:t xml:space="preserve"> (‘Despise of the Kingdom’).</w:t>
      </w: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in their </w:t>
      </w:r>
      <w:r w:rsidRPr="004C5955">
        <w:rPr>
          <w:rFonts w:ascii="Times New Roman" w:eastAsia="Ethiopic Unicode" w:hAnsi="Times New Roman" w:cs="Times New Roman"/>
          <w:i/>
          <w:sz w:val="24"/>
          <w:szCs w:val="24"/>
        </w:rPr>
        <w:t>Gädl</w:t>
      </w:r>
      <w:r w:rsidRPr="004C5955">
        <w:rPr>
          <w:rFonts w:ascii="Times New Roman" w:eastAsia="Ethiopic Unicode" w:hAnsi="Times New Roman" w:cs="Times New Roman"/>
          <w:sz w:val="24"/>
          <w:szCs w:val="24"/>
        </w:rPr>
        <w:t xml:space="preserve"> and Ethiopic </w:t>
      </w:r>
      <w:r w:rsidRPr="004C5955">
        <w:rPr>
          <w:rFonts w:ascii="Times New Roman" w:eastAsia="Ethiopic Unicode" w:hAnsi="Times New Roman" w:cs="Times New Roman"/>
          <w:i/>
          <w:sz w:val="24"/>
          <w:szCs w:val="24"/>
        </w:rPr>
        <w:t>Sǝnkǝssar</w:t>
      </w:r>
      <w:r w:rsidRPr="004C5955">
        <w:rPr>
          <w:rFonts w:ascii="Times New Roman" w:eastAsia="Ethiopic Unicode" w:hAnsi="Times New Roman" w:cs="Times New Roman"/>
          <w:sz w:val="24"/>
          <w:szCs w:val="24"/>
        </w:rPr>
        <w:t xml:space="preserve"> to venerate their martyrdom. A rare case among Solomnic Kings, as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Iyasu I appears associated with the title of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r w:rsidRPr="004C5955">
        <w:rPr>
          <w:rFonts w:ascii="Nyala" w:eastAsia="Ethiopic Unicode" w:hAnsi="Nyala" w:cs="Nyala"/>
          <w:sz w:val="24"/>
          <w:szCs w:val="24"/>
        </w:rPr>
        <w:t>ሰማዕተ፡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ደም፡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ክቡር፡</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694CEE">
      <w:pPr>
        <w:spacing w:line="360" w:lineRule="auto"/>
        <w:ind w:firstLine="720"/>
        <w:jc w:val="both"/>
        <w:rPr>
          <w:rFonts w:ascii="Times New Roman" w:eastAsia="MingLiU" w:hAnsi="Times New Roman" w:cs="Times New Roman"/>
          <w:sz w:val="24"/>
          <w:szCs w:val="24"/>
        </w:rPr>
      </w:pPr>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 xml:space="preserve">ṣe </w:t>
      </w:r>
      <w:r w:rsidR="00AF0F9D" w:rsidRPr="004C5955">
        <w:rPr>
          <w:rFonts w:ascii="Times New Roman" w:eastAsia="Ethiopic Unicode" w:hAnsi="Times New Roman" w:cs="Times New Roman"/>
          <w:sz w:val="24"/>
          <w:szCs w:val="24"/>
        </w:rPr>
        <w:t xml:space="preserve">Iyasu I’s characterization as a faithfulness King is even further attested to in the phrase  such as: </w:t>
      </w:r>
      <w:r w:rsidR="00AF0F9D" w:rsidRPr="004C5955">
        <w:rPr>
          <w:rFonts w:ascii="Nyala" w:eastAsia="Ethiopic Unicode" w:hAnsi="Nyala" w:cs="Nyala"/>
          <w:sz w:val="24"/>
          <w:szCs w:val="24"/>
        </w:rPr>
        <w:t>ሠርጎ፡</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ክሕነት፡</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ማኅቶተ፡</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ሥጋነ፡</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r w:rsidR="00AF0F9D" w:rsidRPr="004C5955">
        <w:rPr>
          <w:rFonts w:ascii="Nyala" w:eastAsia="Ethiopic Unicode" w:hAnsi="Nyala" w:cs="Nyala"/>
          <w:sz w:val="24"/>
          <w:szCs w:val="24"/>
        </w:rPr>
        <w:t>ወዐቃቢነ፡</w:t>
      </w:r>
      <w:r w:rsidR="00AF0F9D" w:rsidRPr="004C5955">
        <w:rPr>
          <w:rFonts w:ascii="Times New Roman" w:eastAsia="Ethiopic Unicode" w:hAnsi="Times New Roman" w:cs="Times New Roman"/>
          <w:sz w:val="24"/>
          <w:szCs w:val="24"/>
        </w:rPr>
        <w:t xml:space="preserve"> </w:t>
      </w:r>
      <w:r w:rsidR="00AF0F9D" w:rsidRPr="004C5955">
        <w:rPr>
          <w:rFonts w:ascii="Nyala" w:eastAsia="Ethiopic Unicode" w:hAnsi="Nyala" w:cs="Nyala"/>
          <w:sz w:val="24"/>
          <w:szCs w:val="24"/>
        </w:rPr>
        <w:t>ትጉህ፡</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694CEE">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2"/>
    </w:p>
    <w:p w:rsidR="00AF0F9D" w:rsidRPr="004C5955" w:rsidRDefault="00AF0F9D" w:rsidP="00694CEE">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r w:rsidRPr="004C5955">
        <w:rPr>
          <w:rFonts w:ascii="Times New Roman" w:eastAsia="MingLiU" w:hAnsi="Times New Roman" w:cs="Times New Roman"/>
          <w:i/>
          <w:sz w:val="24"/>
          <w:szCs w:val="24"/>
        </w:rPr>
        <w:t xml:space="preserve">aṣe </w:t>
      </w:r>
      <w:r w:rsidRPr="004C5955">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3" w:name="_Toc87455734"/>
      <w:r w:rsidRPr="004C5955">
        <w:rPr>
          <w:rFonts w:ascii="Times New Roman" w:hAnsi="Times New Roman" w:cs="Times New Roman"/>
          <w:b/>
          <w:bCs/>
          <w:sz w:val="24"/>
          <w:szCs w:val="24"/>
        </w:rPr>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መሲሕ፡</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መልአክ፡</w:t>
            </w:r>
          </w:p>
        </w:tc>
        <w:tc>
          <w:tcPr>
            <w:tcW w:w="1651"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694CEE">
      <w:pPr>
        <w:spacing w:line="360" w:lineRule="auto"/>
        <w:jc w:val="both"/>
        <w:rPr>
          <w:rFonts w:ascii="Times New Roman" w:eastAsia="MingLiU"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r w:rsidRPr="004C5955">
        <w:rPr>
          <w:rFonts w:ascii="Nyala" w:eastAsia="Ethiopic Unicode" w:hAnsi="Nyala" w:cs="Nyala"/>
          <w:sz w:val="24"/>
          <w:szCs w:val="24"/>
        </w:rPr>
        <w:t>መሲሕ</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r w:rsidRPr="004C5955">
        <w:rPr>
          <w:rFonts w:ascii="Nyala" w:eastAsia="Ethiopic Unicode" w:hAnsi="Nyala" w:cs="Nyala"/>
          <w:sz w:val="24"/>
          <w:szCs w:val="24"/>
        </w:rPr>
        <w:t>ወኀበ፡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ተለወ፡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ኪያሁ፡</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እግዚአ፡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ወመሢሐ፡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ወንጉሠ፡</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አድያም፡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ሰገድ፡</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And from those who followed their lord, the anointed one and the King of Kings Adyam Sägäd</w:t>
      </w:r>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r w:rsidRPr="004C5955">
        <w:rPr>
          <w:rFonts w:ascii="Nyala" w:eastAsia="Ethiopic Unicode" w:hAnsi="Nyala" w:cs="Nyala"/>
          <w:sz w:val="24"/>
          <w:szCs w:val="24"/>
        </w:rPr>
        <w:t>መሲሕ</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694CEE">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694CEE">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defines as ‘messenger, attendant, deacon, minster, apostle’. It is derived from the Gǝʿǝz verb </w:t>
      </w:r>
      <w:r w:rsidRPr="004C5955">
        <w:rPr>
          <w:rFonts w:ascii="Nyala" w:eastAsia="Ethiopic Unicode" w:hAnsi="Nyala" w:cs="Nyala"/>
          <w:sz w:val="24"/>
          <w:szCs w:val="24"/>
        </w:rPr>
        <w:t>ለአከ</w:t>
      </w:r>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r w:rsidRPr="004C5955">
        <w:rPr>
          <w:rFonts w:ascii="Nyala" w:eastAsia="Ethiopic Unicode" w:hAnsi="Nyala" w:cs="Nyala"/>
          <w:sz w:val="24"/>
          <w:szCs w:val="24"/>
        </w:rPr>
        <w:t>መልአክ</w:t>
      </w:r>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r w:rsidRPr="004C5955">
        <w:rPr>
          <w:rFonts w:ascii="Nyala" w:eastAsia="Ethiopic Unicode" w:hAnsi="Nyala" w:cs="Nyala"/>
          <w:sz w:val="24"/>
          <w:szCs w:val="24"/>
        </w:rPr>
        <w:t>ሐመ፡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ንስቲተ፡</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ሕማመ፡</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ንጉሥ፡</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መፍቀሬ፡</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ሃይማኖት፡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ርትዕት፡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ወመፍቀሬ፡</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ጾም፡</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ወጸሎት፡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ወክሉለ፡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ጌራ፡</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ዘኂሩት፡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ወትዕግሥት፡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lastRenderedPageBreak/>
        <w:t>ወሥርግወ፡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ንጽሕ፡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አምሳለ፡</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መላእክት።</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694CEE">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rsidR="00AF0F9D" w:rsidRPr="004C5955" w:rsidRDefault="00AF0F9D" w:rsidP="00694CEE">
      <w:pPr>
        <w:keepNext/>
        <w:spacing w:after="120" w:line="360" w:lineRule="auto"/>
        <w:jc w:val="center"/>
        <w:rPr>
          <w:rFonts w:ascii="Times New Roman" w:hAnsi="Times New Roman" w:cs="Times New Roman"/>
          <w:b/>
          <w:bCs/>
          <w:sz w:val="24"/>
          <w:szCs w:val="24"/>
        </w:rPr>
      </w:pPr>
      <w:bookmarkStart w:id="24" w:name="_Toc87455735"/>
      <w:r w:rsidRPr="004C5955">
        <w:rPr>
          <w:rFonts w:ascii="Times New Roman" w:hAnsi="Times New Roman" w:cs="Times New Roman"/>
          <w:b/>
          <w:bCs/>
          <w:sz w:val="24"/>
          <w:szCs w:val="24"/>
        </w:rPr>
        <w:t>Table 9: Phrase referring to the King’s sacred personality in the CI</w:t>
      </w:r>
      <w:bookmarkEnd w:id="24"/>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694CEE">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መንኖ፡</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ጥሪት፡</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ቃሉ፡</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ወእሙን፡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ነገሩ፡</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Nyala" w:eastAsia="Ethiopic Unicode" w:hAnsi="Nyala" w:cs="Nyala"/>
                <w:sz w:val="24"/>
                <w:szCs w:val="24"/>
              </w:rPr>
              <w:t>ወብዙኃ፡</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ምሕረቱ፡</w:t>
            </w:r>
            <w:r w:rsidRPr="004C5955">
              <w:rPr>
                <w:rFonts w:ascii="Times New Roman" w:hAnsi="Times New Roman" w:cs="Times New Roman"/>
                <w:sz w:val="24"/>
                <w:szCs w:val="24"/>
              </w:rPr>
              <w:t xml:space="preserve"> </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ንጽሐ፡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ልቡናሁ፡</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694CEE">
            <w:pPr>
              <w:spacing w:line="360" w:lineRule="auto"/>
              <w:jc w:val="both"/>
              <w:rPr>
                <w:rFonts w:ascii="Times New Roman" w:eastAsia="PMingLiU" w:hAnsi="Times New Roman" w:cs="Times New Roman"/>
                <w:sz w:val="24"/>
                <w:szCs w:val="24"/>
              </w:rPr>
            </w:pPr>
            <w:r w:rsidRPr="004C5955">
              <w:rPr>
                <w:rFonts w:ascii="Nyala" w:eastAsia="Ethiopic Unicode" w:hAnsi="Nyala" w:cs="Nyala"/>
                <w:sz w:val="24"/>
                <w:szCs w:val="24"/>
              </w:rPr>
              <w:t>ርትዕት፡</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ሃይማኖቱ፡</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ወርኁቀ፡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መዓቱ፡</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694CEE">
            <w:pPr>
              <w:spacing w:line="360" w:lineRule="auto"/>
              <w:jc w:val="both"/>
              <w:rPr>
                <w:rFonts w:ascii="Times New Roman" w:eastAsia="Ethiopic Unicode" w:hAnsi="Times New Roman" w:cs="Times New Roman"/>
                <w:sz w:val="24"/>
                <w:szCs w:val="24"/>
              </w:rPr>
            </w:pPr>
            <w:r w:rsidRPr="004C5955">
              <w:rPr>
                <w:rFonts w:ascii="Nyala" w:eastAsia="Ethiopic Unicode" w:hAnsi="Nyala" w:cs="Nyala"/>
                <w:sz w:val="24"/>
                <w:szCs w:val="24"/>
              </w:rPr>
              <w:t>ብርሃነ፡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አሕዛብ</w:t>
            </w:r>
          </w:p>
        </w:tc>
        <w:tc>
          <w:tcPr>
            <w:tcW w:w="273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694CEE">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694CEE">
      <w:pPr>
        <w:spacing w:line="360" w:lineRule="auto"/>
        <w:jc w:val="both"/>
        <w:rPr>
          <w:rFonts w:ascii="Times New Roman" w:eastAsia="Ethiopic Unicode" w:hAnsi="Times New Roman" w:cs="Times New Roman"/>
          <w:sz w:val="24"/>
          <w:szCs w:val="24"/>
        </w:rPr>
      </w:pPr>
    </w:p>
    <w:p w:rsidR="00AF0F9D" w:rsidRPr="004C5955" w:rsidRDefault="00AF0F9D"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r w:rsidRPr="004C5955">
        <w:rPr>
          <w:rFonts w:ascii="Times New Roman" w:eastAsia="Ethiopic Unicode" w:hAnsi="Times New Roman" w:cs="Times New Roman"/>
          <w:i/>
          <w:sz w:val="24"/>
          <w:szCs w:val="24"/>
        </w:rPr>
        <w:t xml:space="preserve">aṣe </w:t>
      </w:r>
      <w:r w:rsidRPr="004C5955">
        <w:rPr>
          <w:rFonts w:ascii="Times New Roman" w:eastAsia="Ethiopic Unicode" w:hAnsi="Times New Roman" w:cs="Times New Roman"/>
          <w:sz w:val="24"/>
          <w:szCs w:val="24"/>
        </w:rPr>
        <w:t xml:space="preserve">Iyasu I’s personality. Those phrase  are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r w:rsidRPr="004C5955">
        <w:rPr>
          <w:rFonts w:ascii="Nyala" w:eastAsia="Ethiopic Unicode" w:hAnsi="Nyala" w:cs="Nyala"/>
          <w:sz w:val="24"/>
          <w:szCs w:val="24"/>
        </w:rPr>
        <w:t>ጽድቅ፡</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ቃሉ</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ወእሙን፡</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ነገሩ፡</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ወብዙኃ፡</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ምሕረት፡</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r w:rsidRPr="004C5955">
        <w:rPr>
          <w:rFonts w:ascii="Nyala" w:eastAsia="Ethiopic Unicode" w:hAnsi="Nyala" w:cs="Nyala"/>
          <w:sz w:val="24"/>
          <w:szCs w:val="24"/>
        </w:rPr>
        <w:t>ንጽሐ፡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ልቡናሁ፡</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ወርኁቀ፡</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መዓቱ፡</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r w:rsidRPr="004C5955">
        <w:rPr>
          <w:rFonts w:ascii="Nyala" w:eastAsia="Ethiopic Unicode" w:hAnsi="Nyala" w:cs="Nyala"/>
          <w:sz w:val="24"/>
          <w:szCs w:val="24"/>
        </w:rPr>
        <w:t>ብርሃነ፡</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አሕዛብ፡</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9C47C9">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significant difference between HI and CI. In regard to the King’s bravery character traits two marked similar words are identified such as </w:t>
      </w:r>
      <w:r w:rsidR="00AF0F9D" w:rsidRPr="004C5955">
        <w:rPr>
          <w:rFonts w:ascii="Nyala" w:eastAsia="Ethiopic Unicode" w:hAnsi="Nyala" w:cs="Nyala"/>
          <w:sz w:val="24"/>
          <w:szCs w:val="24"/>
        </w:rPr>
        <w:t>አንበሳ</w:t>
      </w:r>
      <w:r w:rsidR="00AF0F9D" w:rsidRPr="004C5955">
        <w:rPr>
          <w:rFonts w:ascii="Times New Roman" w:eastAsia="Ethiopic Unicode" w:hAnsi="Times New Roman" w:cs="Times New Roman"/>
          <w:sz w:val="24"/>
          <w:szCs w:val="24"/>
        </w:rPr>
        <w:t xml:space="preserve"> (‘Lion’) and </w:t>
      </w:r>
      <w:r w:rsidR="00AF0F9D" w:rsidRPr="004C5955">
        <w:rPr>
          <w:rFonts w:ascii="Nyala" w:eastAsia="Ethiopic Unicode" w:hAnsi="Nyala" w:cs="Nyala"/>
          <w:sz w:val="24"/>
          <w:szCs w:val="24"/>
        </w:rPr>
        <w:t>ንስር</w:t>
      </w:r>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r w:rsidR="00AF0F9D" w:rsidRPr="004C5955">
        <w:rPr>
          <w:rFonts w:ascii="Nyala" w:eastAsia="Ethiopic Unicode" w:hAnsi="Nyala" w:cs="Nyala"/>
          <w:sz w:val="24"/>
          <w:szCs w:val="24"/>
        </w:rPr>
        <w:t>መሲሕ</w:t>
      </w:r>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694CEE">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694CEE">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r w:rsidRPr="004C5955">
        <w:rPr>
          <w:rFonts w:ascii="Times New Roman" w:eastAsia="Ethiopic Unicode" w:hAnsi="Times New Roman" w:cs="Times New Roman"/>
          <w:i/>
          <w:sz w:val="24"/>
          <w:szCs w:val="24"/>
        </w:rPr>
        <w:t>aṣe</w:t>
      </w:r>
      <w:r w:rsidRPr="004C5955">
        <w:rPr>
          <w:rFonts w:ascii="Times New Roman" w:eastAsia="Ethiopic Unicode" w:hAnsi="Times New Roman" w:cs="Times New Roman"/>
          <w:sz w:val="24"/>
          <w:szCs w:val="24"/>
        </w:rPr>
        <w:t xml:space="preserve"> Iyasu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5F6C3F">
      <w:pPr>
        <w:shd w:val="clear" w:color="auto" w:fill="FFFF00"/>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r w:rsidR="00DB2B3C" w:rsidRPr="004C5955">
        <w:rPr>
          <w:rFonts w:ascii="Times New Roman" w:eastAsia="Ethiopic Unicode" w:hAnsi="Times New Roman" w:cs="Times New Roman"/>
          <w:sz w:val="24"/>
          <w:szCs w:val="24"/>
        </w:rPr>
        <w:t>Gǝʿǝz</w:t>
      </w:r>
      <w:r w:rsidRPr="004C5955">
        <w:rPr>
          <w:rFonts w:ascii="Times New Roman" w:eastAsia="Ethiopic Unicode" w:hAnsi="Times New Roman" w:cs="Times New Roman"/>
          <w:sz w:val="24"/>
          <w:szCs w:val="24"/>
        </w:rPr>
        <w:t xml:space="preserve"> literature.</w:t>
      </w:r>
    </w:p>
    <w:p w:rsidR="00AF0F9D" w:rsidRPr="004C5955" w:rsidRDefault="00AF0F9D" w:rsidP="00694CEE">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lang w:val="fr-FR"/>
        </w:rPr>
      </w:pPr>
      <w:r w:rsidRPr="003413EE">
        <w:rPr>
          <w:rFonts w:ascii="Times New Roman" w:eastAsia="Ethiopic Unicode" w:hAnsi="Times New Roman" w:cs="Times New Roman"/>
          <w:sz w:val="24"/>
          <w:szCs w:val="24"/>
          <w:lang w:val="fr-FR"/>
        </w:rPr>
        <w:t xml:space="preserve">d’Abbadie, A. 1859. </w:t>
      </w:r>
      <w:r w:rsidRPr="003413EE">
        <w:rPr>
          <w:rFonts w:ascii="Times New Roman" w:eastAsia="Ethiopic Unicode" w:hAnsi="Times New Roman" w:cs="Times New Roman"/>
          <w:i/>
          <w:iCs/>
          <w:sz w:val="24"/>
          <w:szCs w:val="24"/>
          <w:lang w:val="fr-FR"/>
        </w:rPr>
        <w:t xml:space="preserve">Catalogue raisonné des manuscrits éthiopiens appartenant à Antoine d’Abbadie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bookmarkStart w:id="25" w:name="_GoBack"/>
      <w:bookmarkEnd w:id="25"/>
    </w:p>
    <w:p w:rsidR="00AF0F9D" w:rsidRPr="003413EE" w:rsidRDefault="00AF0F9D" w:rsidP="006E6079">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r w:rsidRPr="003413EE">
        <w:rPr>
          <w:rFonts w:ascii="Times New Roman" w:eastAsia="Ethiopic Unicode" w:hAnsi="Times New Roman" w:cs="Times New Roman"/>
          <w:i/>
          <w:sz w:val="24"/>
          <w:szCs w:val="24"/>
        </w:rPr>
        <w:t>The queen of Sheba and her only son Menyelek</w:t>
      </w:r>
      <w:r w:rsidRPr="003413EE">
        <w:rPr>
          <w:rFonts w:ascii="Times New Roman" w:eastAsia="Ethiopic Unicode" w:hAnsi="Times New Roman" w:cs="Times New Roman"/>
          <w:sz w:val="24"/>
          <w:szCs w:val="24"/>
        </w:rPr>
        <w:t xml:space="preserve"> (London; Oxford University press, 1932).</w:t>
      </w:r>
    </w:p>
    <w:p w:rsidR="00C87342" w:rsidRPr="003413EE" w:rsidRDefault="00C87342" w:rsidP="00C87342">
      <w:pPr>
        <w:shd w:val="clear" w:color="auto" w:fill="92D050"/>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r w:rsidRPr="003413EE">
        <w:rPr>
          <w:rFonts w:ascii="Times New Roman" w:eastAsia="Ethiopic Unicode" w:hAnsi="Times New Roman" w:cs="Times New Roman"/>
          <w:i/>
          <w:sz w:val="24"/>
          <w:szCs w:val="24"/>
        </w:rPr>
        <w:t>The Life and the Miracles of Takla Haymanot</w:t>
      </w:r>
      <w:r w:rsidRPr="003413EE">
        <w:rPr>
          <w:rFonts w:ascii="Times New Roman" w:eastAsia="Ethiopic Unicode" w:hAnsi="Times New Roman" w:cs="Times New Roman"/>
          <w:sz w:val="24"/>
          <w:szCs w:val="24"/>
        </w:rPr>
        <w:t xml:space="preserve"> (London: privately printed for Lady Meux, 1906).</w:t>
      </w:r>
    </w:p>
    <w:p w:rsidR="00AF0F9D" w:rsidRPr="003413EE" w:rsidRDefault="005C2F5B"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Berg, B. 2001.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413EE">
        <w:rPr>
          <w:rFonts w:ascii="Times New Roman" w:hAnsi="Times New Roman" w:cs="Times New Roman"/>
          <w:i/>
          <w:sz w:val="24"/>
          <w:szCs w:val="24"/>
          <w:shd w:val="clear" w:color="auto" w:fill="FFFF00"/>
        </w:rPr>
        <w:t xml:space="preserve">The </w:t>
      </w:r>
      <w:r w:rsidR="005C2F5B" w:rsidRPr="003413EE">
        <w:rPr>
          <w:rFonts w:ascii="Times New Roman" w:hAnsi="Times New Roman" w:cs="Times New Roman"/>
          <w:i/>
          <w:sz w:val="24"/>
          <w:szCs w:val="24"/>
          <w:shd w:val="clear" w:color="auto" w:fill="FFFF00"/>
        </w:rPr>
        <w:t>So</w:t>
      </w:r>
      <w:r w:rsidRPr="003413EE">
        <w:rPr>
          <w:rFonts w:ascii="Times New Roman" w:hAnsi="Times New Roman" w:cs="Times New Roman"/>
          <w:i/>
          <w:sz w:val="24"/>
          <w:szCs w:val="24"/>
          <w:shd w:val="clear" w:color="auto" w:fill="FFFF00"/>
        </w:rPr>
        <w:t>lomonic Monarchy at Gondär, 1630-1755: An Institutional Analysis    of Kingship in the Christian Kingdom of Ethiopia</w:t>
      </w:r>
      <w:r w:rsidRPr="003413EE">
        <w:rPr>
          <w:rFonts w:ascii="Times New Roman" w:hAnsi="Times New Roman" w:cs="Times New Roman"/>
          <w:sz w:val="24"/>
          <w:szCs w:val="24"/>
        </w:rPr>
        <w:t xml:space="preserve">, Ph.D. thesis, Boston University, African Studies center. </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Boll, Verena. 2009. ‘Aṣe Iyasu I (1682-1706) and the Synod of Yebaba’, in E. Svein, A. Harald, Birhanu Teferra and Shiferaw Bekele, eds,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683EF2">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Brita, A. 2010. </w:t>
      </w:r>
      <w:r w:rsidRPr="003413EE">
        <w:rPr>
          <w:rFonts w:ascii="Times New Roman" w:hAnsi="Times New Roman" w:cs="Times New Roman"/>
          <w:i/>
          <w:sz w:val="24"/>
          <w:szCs w:val="24"/>
        </w:rPr>
        <w:t>I racconti tradizionali sulla “Seconda Cristianizzazione” dell’Etiopia. Il ci</w:t>
      </w:r>
      <w:r w:rsidR="00B75A81" w:rsidRPr="003413EE">
        <w:rPr>
          <w:rFonts w:ascii="Times New Roman" w:hAnsi="Times New Roman" w:cs="Times New Roman"/>
          <w:i/>
          <w:sz w:val="24"/>
          <w:szCs w:val="24"/>
        </w:rPr>
        <w:t>clo agiografico dei Nove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Studi africanistici Serie etiopica 7, (Napoli: Istituto Universitario Orientale, 2010)</w:t>
      </w:r>
    </w:p>
    <w:p w:rsidR="005C2F5B"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Conti Rossini, C. 1942, ‘Iyasu I Re d’Etiopia e Martire’, </w:t>
      </w:r>
      <w:r w:rsidRPr="003413EE">
        <w:rPr>
          <w:rFonts w:ascii="Times New Roman" w:hAnsi="Times New Roman" w:cs="Times New Roman"/>
          <w:i/>
          <w:iCs/>
          <w:sz w:val="24"/>
          <w:szCs w:val="24"/>
        </w:rPr>
        <w:t xml:space="preserve">Rivista degli studi orientali </w:t>
      </w:r>
      <w:r w:rsidRPr="003413EE">
        <w:rPr>
          <w:rFonts w:ascii="Times New Roman" w:hAnsi="Times New Roman" w:cs="Times New Roman"/>
          <w:sz w:val="24"/>
          <w:szCs w:val="24"/>
        </w:rPr>
        <w:t>20 (1942), 65-127.</w:t>
      </w:r>
    </w:p>
    <w:p w:rsidR="005C2F5B" w:rsidRPr="003413EE" w:rsidRDefault="005C2F5B" w:rsidP="00D1158D">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r w:rsidRPr="003413EE">
        <w:rPr>
          <w:rFonts w:ascii="Times New Roman" w:hAnsi="Times New Roman" w:cs="Times New Roman"/>
          <w:i/>
          <w:iCs/>
          <w:sz w:val="24"/>
          <w:szCs w:val="24"/>
        </w:rPr>
        <w:t xml:space="preserve">Historia regis Sarṣa Dengel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Malak Sagad</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Corpus Scriptorum Christianorum Orientalium, 20, 21, Scriptores Aethiopici, 3, 4 (Louvain: Imprimerie Orientaliste L. Durbecq, 1961).</w:t>
      </w:r>
    </w:p>
    <w:p w:rsidR="00AF0F9D" w:rsidRPr="003413EE" w:rsidRDefault="00AF0F9D" w:rsidP="006E6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r w:rsidRPr="003413EE">
        <w:rPr>
          <w:rFonts w:ascii="Times New Roman" w:eastAsia="Ethiopic Unicode" w:hAnsi="Times New Roman" w:cs="Times New Roman"/>
          <w:spacing w:val="-2"/>
          <w:sz w:val="24"/>
          <w:szCs w:val="24"/>
          <w:lang w:val="fr-FR"/>
        </w:rPr>
        <w:lastRenderedPageBreak/>
        <w:t xml:space="preserve">Dillmann, A. 1848. </w:t>
      </w:r>
      <w:r w:rsidRPr="003413EE">
        <w:rPr>
          <w:rFonts w:ascii="Times New Roman" w:eastAsia="Ethiopic Unicode" w:hAnsi="Times New Roman" w:cs="Times New Roman"/>
          <w:i/>
          <w:iCs/>
          <w:spacing w:val="-2"/>
          <w:sz w:val="24"/>
          <w:szCs w:val="24"/>
          <w:lang w:val="fr-FR"/>
        </w:rPr>
        <w:t>Catalogus Codicum manuscriptorum bibliothecae Bodleianae Oxoniensis</w:t>
      </w:r>
      <w:r w:rsidRPr="003413EE">
        <w:rPr>
          <w:rFonts w:ascii="Times New Roman" w:eastAsia="Ethiopic Unicode" w:hAnsi="Times New Roman" w:cs="Times New Roman"/>
          <w:spacing w:val="-2"/>
          <w:sz w:val="24"/>
          <w:szCs w:val="24"/>
          <w:lang w:val="fr-FR"/>
        </w:rPr>
        <w:t xml:space="preserve">, Pars VII: </w:t>
      </w:r>
      <w:r w:rsidRPr="003413EE">
        <w:rPr>
          <w:rFonts w:ascii="Times New Roman" w:eastAsia="Ethiopic Unicode" w:hAnsi="Times New Roman" w:cs="Times New Roman"/>
          <w:i/>
          <w:iCs/>
          <w:spacing w:val="-2"/>
          <w:sz w:val="24"/>
          <w:szCs w:val="24"/>
          <w:lang w:val="fr-FR"/>
        </w:rPr>
        <w:t>Codices A</w:t>
      </w:r>
      <w:r w:rsidRPr="003413EE">
        <w:rPr>
          <w:rFonts w:ascii="Times New Roman" w:eastAsia="Ethiopic Unicode" w:hAnsi="Times New Roman" w:cs="Times New Roman"/>
          <w:i/>
          <w:iCs/>
          <w:sz w:val="24"/>
          <w:szCs w:val="24"/>
          <w:lang w:val="fr-FR"/>
        </w:rPr>
        <w:t xml:space="preserve">ethiopici </w:t>
      </w:r>
      <w:r w:rsidRPr="003413EE">
        <w:rPr>
          <w:rFonts w:ascii="Times New Roman" w:eastAsia="Ethiopic Unicode" w:hAnsi="Times New Roman" w:cs="Times New Roman"/>
          <w:sz w:val="24"/>
          <w:szCs w:val="24"/>
          <w:lang w:val="fr-FR"/>
        </w:rPr>
        <w:t xml:space="preserve">(Oxonii: </w:t>
      </w:r>
      <w:r w:rsidRPr="003413EE">
        <w:rPr>
          <w:rFonts w:ascii="Times New Roman" w:eastAsia="Ethiopic Unicode" w:hAnsi="Times New Roman" w:cs="Times New Roman"/>
          <w:sz w:val="24"/>
          <w:szCs w:val="24"/>
          <w:lang w:val="fr-FR" w:eastAsia="en-GB"/>
        </w:rPr>
        <w:t>E Typographeo Academico, 1848).</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EAe = S. Uhlig, ed., Encyclopaedia Aethiopica, Volume 1: A-C; Volume 2: D-Ha; Volume 3: He-N; in cooperation with A. Bausi, eds, Volume 4: O-X; A. Bausi in cooperation with S. Uhlig, eds, Volume 5: Y-Z, Supplementa, Addenda et Corrigenda, Maps, Index (Wiesbaden: Harrassowitz Verlag, 2003, 2005, 2007, 2010, 2014).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A Comparative Study of Deutero Isaiah and Job</w:t>
      </w:r>
      <w:r w:rsidRPr="003413EE">
        <w:rPr>
          <w:rFonts w:ascii="Times New Roman" w:hAnsi="Times New Roman" w:cs="Times New Roman"/>
          <w:sz w:val="24"/>
          <w:szCs w:val="24"/>
        </w:rPr>
        <w:t>. PhD thesis, Southern Baptism Theological Seminary Louisville, Kentucky.</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Getatchew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Getie Gelaye 2009. ‘Amharic Praise Poems Related to Emperors Tewodros II and Yohannes IV’, in Sveln Ege et. Al., eds,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Guidi, I. 1903-1905</w:t>
      </w:r>
      <w:r w:rsidRPr="003413EE">
        <w:rPr>
          <w:rFonts w:ascii="Times New Roman" w:hAnsi="Times New Roman" w:cs="Times New Roman"/>
          <w:sz w:val="24"/>
          <w:szCs w:val="24"/>
          <w:shd w:val="clear" w:color="auto" w:fill="FFFF00"/>
        </w:rPr>
        <w:t xml:space="preserve">. </w:t>
      </w:r>
      <w:r w:rsidRPr="003413EE">
        <w:rPr>
          <w:rFonts w:ascii="Times New Roman" w:hAnsi="Times New Roman" w:cs="Times New Roman"/>
          <w:i/>
          <w:sz w:val="24"/>
          <w:szCs w:val="24"/>
          <w:shd w:val="clear" w:color="auto" w:fill="FFFF00"/>
        </w:rPr>
        <w:t>Annales Yohannis I, Iyasu I et Bakaffa, Corpus Scriptorum Christianorum Orientalium</w:t>
      </w:r>
      <w:r w:rsidRPr="003413EE">
        <w:rPr>
          <w:rFonts w:ascii="Times New Roman" w:hAnsi="Times New Roman" w:cs="Times New Roman"/>
          <w:sz w:val="24"/>
          <w:szCs w:val="24"/>
          <w:shd w:val="clear" w:color="auto" w:fill="FFFF00"/>
        </w:rPr>
        <w:t>,</w:t>
      </w:r>
      <w:r w:rsidRPr="003413EE">
        <w:rPr>
          <w:rFonts w:ascii="Times New Roman" w:hAnsi="Times New Roman" w:cs="Times New Roman"/>
          <w:sz w:val="24"/>
          <w:szCs w:val="24"/>
        </w:rPr>
        <w:t xml:space="preserve"> 22, 23, Scriptores Aethiopici, 5, 6 (Paris: Lipsiae, 1903-1905).</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Gumbrecht, U. 2003. </w:t>
      </w:r>
      <w:r w:rsidRPr="003413EE">
        <w:rPr>
          <w:rFonts w:ascii="Times New Roman" w:hAnsi="Times New Roman" w:cs="Times New Roman"/>
          <w:i/>
          <w:sz w:val="24"/>
          <w:szCs w:val="24"/>
          <w:shd w:val="clear" w:color="auto" w:fill="FFFF00"/>
        </w:rPr>
        <w:t>The Power of Philology: Dynamics of Textual Scholarships</w:t>
      </w:r>
      <w:r w:rsidRPr="003413EE">
        <w:rPr>
          <w:rFonts w:ascii="Times New Roman" w:hAnsi="Times New Roman" w:cs="Times New Roman"/>
          <w:sz w:val="24"/>
          <w:szCs w:val="24"/>
        </w:rPr>
        <w:t xml:space="preserve"> (Urbaba: Chicago, University of Illinois Press, 2003).</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Hatch, E and H. Farhady 1982.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6E6079">
      <w:pPr>
        <w:autoSpaceDE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Krippendorff,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657A0A">
      <w:pPr>
        <w:shd w:val="clear" w:color="auto" w:fill="92D050"/>
        <w:autoSpaceDE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Kropp, M. 1994. </w:t>
      </w:r>
      <w:r w:rsidRPr="003413EE">
        <w:rPr>
          <w:rFonts w:ascii="Times New Roman" w:hAnsi="Times New Roman" w:cs="Times New Roman"/>
          <w:i/>
          <w:iCs/>
          <w:sz w:val="24"/>
          <w:szCs w:val="24"/>
        </w:rPr>
        <w:t xml:space="preserve">Der siegreiche Feldzug des Königs </w:t>
      </w:r>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 gegen die Muslime in Adal im</w:t>
      </w:r>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Jahre 1332 n. Chr</w:t>
      </w:r>
      <w:r w:rsidRPr="003413EE">
        <w:rPr>
          <w:rFonts w:ascii="Times New Roman" w:eastAsia="Ethiopic Unicode" w:hAnsi="Times New Roman" w:cs="Times New Roman"/>
          <w:sz w:val="24"/>
          <w:szCs w:val="24"/>
        </w:rPr>
        <w:t>., Corpus Scriptorum Christianorum Orientalium,</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537, 538, Scriptores</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Aethiopici, 99, 100 (Louvain: Peeters, 1994).</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Kwon, J.J 2016. Scribal Culture and Intertextuality: Literary and Historical relationships between job and Deutero-Isaiah (Tubingen: Mohr Siebeck, 2016).</w:t>
      </w:r>
    </w:p>
    <w:p w:rsidR="00115D1D"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Leslau W. 1991.</w:t>
      </w:r>
      <w:r w:rsidR="00AF0F9D" w:rsidRPr="003413EE">
        <w:rPr>
          <w:rFonts w:ascii="Times New Roman" w:hAnsi="Times New Roman" w:cs="Times New Roman"/>
          <w:sz w:val="24"/>
          <w:szCs w:val="24"/>
        </w:rPr>
        <w:t xml:space="preserve"> Comparative dictionary of Ge’ez (Classical Ethiopic): Ge’ez-English/ English-Ge’ez; with an index of the Semitic roots (2nd edn:Wiesbaden: Harrassowitz, 1991; 1st edn: 1987).</w:t>
      </w:r>
    </w:p>
    <w:p w:rsidR="00EB2F80" w:rsidRPr="003413EE" w:rsidRDefault="00EB2F80"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Lewis, M. 1997. </w:t>
      </w:r>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 (London: Language Teaching Publications, 1997).</w:t>
      </w:r>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Littmann, E. 1902. </w:t>
      </w:r>
      <w:r w:rsidRPr="003413EE">
        <w:rPr>
          <w:rFonts w:ascii="Times New Roman" w:hAnsi="Times New Roman" w:cs="Times New Roman"/>
          <w:i/>
          <w:iCs/>
          <w:sz w:val="24"/>
          <w:szCs w:val="24"/>
        </w:rPr>
        <w:t>The chronicle of king Theodore of Abyssinia, edited from the Berlin manuscript with translation and notes by Enno Littmann</w:t>
      </w:r>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Lusini, G. 2005. ‘Philology and the Reconstruction of the Ethiopian Past’, in W. Rauning and St. Wenig, eds, Afrikas Horn: Akten der Ersten Internationalen Littmann-Konferenz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Marrassini,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scettro e la croce. La campagna di ʿAmda Ṣeyon I contro l’Ifat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Studi Africanistici, Serie Etiopica, 4 (Napoli: Istituto Universitario Orientale, 1993).</w:t>
      </w:r>
    </w:p>
    <w:p w:rsidR="00AF0F9D" w:rsidRPr="003413EE" w:rsidRDefault="00115D1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657A0A">
      <w:pPr>
        <w:shd w:val="clear" w:color="auto" w:fill="92D05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Bausi,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The Worlds of Eastern Christianity, 300–1500</w:t>
      </w:r>
      <w:r w:rsidRPr="003413EE">
        <w:rPr>
          <w:rFonts w:ascii="Times New Roman" w:eastAsia="Ethiopic Unicode" w:hAnsi="Times New Roman" w:cs="Times New Roman"/>
          <w:i/>
          <w:sz w:val="24"/>
          <w:szCs w:val="24"/>
        </w:rPr>
        <w:t xml:space="preserve"> </w:t>
      </w:r>
      <w:r w:rsidRPr="003413EE">
        <w:rPr>
          <w:rFonts w:ascii="Times New Roman" w:eastAsia="Ethiopic Unicode" w:hAnsi="Times New Roman" w:cs="Times New Roman"/>
          <w:sz w:val="24"/>
          <w:szCs w:val="24"/>
          <w:shd w:val="clear" w:color="auto" w:fill="92D050"/>
        </w:rPr>
        <w:t xml:space="preserve">(Farnham: </w:t>
      </w:r>
      <w:hyperlink r:id="rId12" w:history="1">
        <w:r w:rsidRPr="003413EE">
          <w:rPr>
            <w:rFonts w:ascii="Times New Roman" w:eastAsia="Ethiopic Unicode" w:hAnsi="Times New Roman" w:cs="Times New Roman"/>
            <w:sz w:val="24"/>
            <w:szCs w:val="24"/>
            <w:shd w:val="clear" w:color="auto" w:fill="92D050"/>
          </w:rPr>
          <w:t>Ashgate</w:t>
        </w:r>
      </w:hyperlink>
      <w:r w:rsidR="0073522E" w:rsidRPr="003413EE">
        <w:rPr>
          <w:rFonts w:ascii="Times New Roman" w:eastAsia="Ethiopic Unicode" w:hAnsi="Times New Roman" w:cs="Times New Roman"/>
          <w:sz w:val="24"/>
          <w:szCs w:val="24"/>
          <w:shd w:val="clear" w:color="auto" w:fill="92D050"/>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Mersh Aleghgn 2015. ‘Regularity and Uniformity in the Ethiopan Hagigraphcal Tradtion: A particlual focues on Narrating the Childhood of Saints’</w:t>
      </w:r>
      <w:r w:rsidRPr="003413EE">
        <w:rPr>
          <w:rFonts w:ascii="Times New Roman" w:hAnsi="Times New Roman" w:cs="Times New Roman"/>
          <w:i/>
          <w:sz w:val="24"/>
          <w:szCs w:val="24"/>
        </w:rPr>
        <w:t>, Aethiopica: International Journal of Ethiopian and Eriteria Studies</w:t>
      </w:r>
      <w:r w:rsidRPr="003413EE">
        <w:rPr>
          <w:rFonts w:ascii="Times New Roman" w:hAnsi="Times New Roman" w:cs="Times New Roman"/>
          <w:sz w:val="24"/>
          <w:szCs w:val="24"/>
        </w:rPr>
        <w:t xml:space="preserve">, 18(2015), 145-162. </w:t>
      </w:r>
    </w:p>
    <w:p w:rsidR="00CB4707" w:rsidRPr="003413EE" w:rsidRDefault="0073522E" w:rsidP="006E6079">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1987. ‘Fear God, Honor the King: The use of Biblical Allusion in Ethiopian Histo</w:t>
      </w:r>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Samuel W. Yohannes 1997, ‘The Gadl as basis for constructing the notion of the human person in Ethiopia philosophy’, in Bahru Zewde, R. Pankhurst, and Taddese Beyene,eds, Proceedings of the Eleventh International Conference of Ethiopian Studies (Koyoto, 1991), 211-218.</w:t>
      </w:r>
      <w:r w:rsidR="00AF0F9D" w:rsidRPr="003413EE">
        <w:rPr>
          <w:rFonts w:ascii="Times New Roman" w:eastAsia="Ethiopic Unicode" w:hAnsi="Times New Roman" w:cs="Times New Roman"/>
          <w:sz w:val="24"/>
          <w:szCs w:val="24"/>
        </w:rPr>
        <w:t xml:space="preserve">rical Literature, Part II’, </w:t>
      </w:r>
      <w:r w:rsidR="00AF0F9D" w:rsidRPr="003413EE">
        <w:rPr>
          <w:rFonts w:ascii="Times New Roman" w:hAnsi="Times New Roman" w:cs="Times New Roman"/>
          <w:i/>
          <w:iCs/>
          <w:sz w:val="24"/>
          <w:szCs w:val="24"/>
          <w:shd w:val="clear" w:color="auto" w:fill="FFFF00"/>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r w:rsidRPr="003413EE">
        <w:rPr>
          <w:rFonts w:ascii="Times New Roman" w:hAnsi="Times New Roman" w:cs="Times New Roman"/>
          <w:i/>
          <w:iCs/>
          <w:sz w:val="24"/>
          <w:szCs w:val="24"/>
        </w:rPr>
        <w:t>Historia de Minas, Reid’ethiopia</w:t>
      </w:r>
      <w:r w:rsidRPr="003413EE">
        <w:rPr>
          <w:rFonts w:ascii="Times New Roman" w:eastAsia="Ethiopic Unicode" w:hAnsi="Times New Roman" w:cs="Times New Roman"/>
          <w:sz w:val="24"/>
          <w:szCs w:val="24"/>
        </w:rPr>
        <w:t xml:space="preserve"> (Lisboa: Imprensa Nacional, 1888).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r w:rsidRPr="003413EE">
        <w:rPr>
          <w:rFonts w:ascii="Times New Roman" w:hAnsi="Times New Roman" w:cs="Times New Roman"/>
          <w:i/>
          <w:iCs/>
          <w:sz w:val="24"/>
          <w:szCs w:val="24"/>
        </w:rPr>
        <w:t>Chronica de Susenyos rei de Ethiopia</w:t>
      </w:r>
      <w:r w:rsidRPr="003413EE">
        <w:rPr>
          <w:rFonts w:ascii="Times New Roman" w:eastAsia="Ethiopic Unicode" w:hAnsi="Times New Roman" w:cs="Times New Roman"/>
          <w:sz w:val="24"/>
          <w:szCs w:val="24"/>
        </w:rPr>
        <w:t>, I–II, Sociedade de Geographia de Lisboa (Lisboa: Imprensa Nacional, 1892).</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Perruchon, J. 1889. ‘Histoire des guerres d’Amda Seyon, roi d’Ethiopie’, </w:t>
      </w:r>
      <w:r w:rsidRPr="003413EE">
        <w:rPr>
          <w:rFonts w:ascii="Times New Roman" w:hAnsi="Times New Roman" w:cs="Times New Roman"/>
          <w:i/>
          <w:iCs/>
          <w:sz w:val="24"/>
          <w:szCs w:val="24"/>
        </w:rPr>
        <w:t>Journal Asiatique</w:t>
      </w:r>
      <w:r w:rsidRPr="003413EE">
        <w:rPr>
          <w:rFonts w:ascii="Times New Roman" w:eastAsia="Ethiopic Unicode" w:hAnsi="Times New Roman" w:cs="Times New Roman"/>
          <w:sz w:val="24"/>
          <w:szCs w:val="24"/>
        </w:rPr>
        <w:t xml:space="preserve">, 14 (1889), 271–363, 381–493. </w:t>
      </w:r>
    </w:p>
    <w:p w:rsidR="00CB4707" w:rsidRPr="003413EE" w:rsidRDefault="00CB4707" w:rsidP="00657A0A">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chroniques de Za˒ra Yaʿeqôb et de Baʾeda Mâryâm Rois d’Éthiopie de 1434 à 1478 </w:t>
      </w:r>
      <w:r w:rsidRPr="003413EE">
        <w:rPr>
          <w:rFonts w:ascii="Times New Roman" w:eastAsia="Ethiopic Unicode" w:hAnsi="Times New Roman" w:cs="Times New Roman"/>
          <w:sz w:val="24"/>
          <w:szCs w:val="24"/>
        </w:rPr>
        <w:t>(Paris: Bouillon, 1893)</w:t>
      </w:r>
    </w:p>
    <w:p w:rsidR="000B3E64"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Samuel W. Yohannes 1997, ‘The Gadl as basis for constructing the notion of the human person in Ethiopia philosophy’, in Bahru Zewde, R. Pankhurst, and Taddese Beyene,eds,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(Koyoto, 1991), 211-218.</w:t>
      </w:r>
      <w:r w:rsidR="000B3E64" w:rsidRPr="003413EE">
        <w:rPr>
          <w:rFonts w:ascii="Times New Roman" w:hAnsi="Times New Roman" w:cs="Times New Roman"/>
          <w:sz w:val="24"/>
          <w:szCs w:val="24"/>
        </w:rPr>
        <w:t xml:space="preserve"> </w:t>
      </w:r>
    </w:p>
    <w:p w:rsidR="000B3E64" w:rsidRPr="003413EE" w:rsidRDefault="000B3E64" w:rsidP="00683EF2">
      <w:pPr>
        <w:shd w:val="clear" w:color="auto" w:fill="92D050"/>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 xml:space="preserve">Sarfraz,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Solomon Gebreyes 2016. The Chronicle of King Gälawdewos (1540-1559): A Critical Edition with Annotated Translation, PhD thesis, University of Hamburg.</w:t>
      </w:r>
    </w:p>
    <w:p w:rsidR="005C2F5B" w:rsidRPr="003413EE" w:rsidRDefault="005C2F5B" w:rsidP="00657A0A">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Taddesse Tamrat 1972. Church and State in Ethiopia 1270–1527 (Oxford: Clarendon Press, 1972).</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Täklä Ṣadǝq Mäkuriya 1960. Yäʾǝtyoṗya tarik käʾaḍe Lǝbnä Dǝngǝl ǝskä Tewodros (‘A History of Ethiopia from the reign of Lǝbnä Dǝngǝl to Tewodros II’) (Addis Ababa, 1952).</w:t>
      </w:r>
    </w:p>
    <w:p w:rsidR="00CB4707"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583E58">
      <w:pPr>
        <w:shd w:val="clear" w:color="auto" w:fill="92D050"/>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eastAsia="Ethiopic Unicode" w:hAnsi="Times New Roman" w:cs="Times New Roman"/>
          <w:sz w:val="24"/>
          <w:szCs w:val="24"/>
        </w:rPr>
        <w:t>Weld-Blundell, H. 1922.</w:t>
      </w:r>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6E6079">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1E8" w:rsidRDefault="003C11E8" w:rsidP="00AF0F9D">
      <w:pPr>
        <w:spacing w:after="0" w:line="240" w:lineRule="auto"/>
      </w:pPr>
      <w:r>
        <w:separator/>
      </w:r>
    </w:p>
  </w:endnote>
  <w:endnote w:type="continuationSeparator" w:id="0">
    <w:p w:rsidR="003C11E8" w:rsidRDefault="003C11E8"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21B7E" w:rsidRDefault="00C21B7E">
        <w:pPr>
          <w:pStyle w:val="Footer"/>
          <w:jc w:val="center"/>
        </w:pPr>
        <w:r>
          <w:fldChar w:fldCharType="begin"/>
        </w:r>
        <w:r>
          <w:instrText xml:space="preserve"> PAGE   \* MERGEFORMAT </w:instrText>
        </w:r>
        <w:r>
          <w:fldChar w:fldCharType="separate"/>
        </w:r>
        <w:r w:rsidR="00650716">
          <w:rPr>
            <w:noProof/>
          </w:rPr>
          <w:t>8</w:t>
        </w:r>
        <w:r>
          <w:rPr>
            <w:noProof/>
          </w:rPr>
          <w:fldChar w:fldCharType="end"/>
        </w:r>
      </w:p>
    </w:sdtContent>
  </w:sdt>
  <w:p w:rsidR="00C21B7E" w:rsidRDefault="00C21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1E8" w:rsidRDefault="003C11E8" w:rsidP="00AF0F9D">
      <w:pPr>
        <w:spacing w:after="0" w:line="240" w:lineRule="auto"/>
      </w:pPr>
      <w:r>
        <w:separator/>
      </w:r>
    </w:p>
  </w:footnote>
  <w:footnote w:type="continuationSeparator" w:id="0">
    <w:p w:rsidR="003C11E8" w:rsidRDefault="003C11E8" w:rsidP="00AF0F9D">
      <w:pPr>
        <w:spacing w:after="0" w:line="240" w:lineRule="auto"/>
      </w:pPr>
      <w:r>
        <w:continuationSeparator/>
      </w:r>
    </w:p>
  </w:footnote>
  <w:footnote w:id="1">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 xml:space="preserve">dl’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Tadesse Tamrat 1972, 18,; ‘Mnauscript’, </w:t>
      </w:r>
      <w:r w:rsidRPr="004C5955">
        <w:rPr>
          <w:rFonts w:ascii="Times New Roman" w:hAnsi="Times New Roman" w:cs="Times New Roman"/>
          <w:i/>
          <w:iCs/>
        </w:rPr>
        <w:t>EAe</w:t>
      </w:r>
      <w:r w:rsidRPr="004C5955">
        <w:rPr>
          <w:rFonts w:ascii="Times New Roman" w:hAnsi="Times New Roman" w:cs="Times New Roman"/>
        </w:rPr>
        <w:t>, III (2005), 738 (</w:t>
      </w:r>
      <w:r w:rsidRPr="004C5955">
        <w:rPr>
          <w:rFonts w:ascii="Times New Roman" w:eastAsia="StempelGaramond-Roman" w:hAnsi="Times New Roman" w:cs="Times New Roman"/>
        </w:rPr>
        <w:t>Alessandro Bausi</w:t>
      </w:r>
      <w:r w:rsidRPr="004C5955">
        <w:rPr>
          <w:rFonts w:ascii="Times New Roman" w:hAnsi="Times New Roman" w:cs="Times New Roman"/>
        </w:rPr>
        <w:t>).</w:t>
      </w:r>
    </w:p>
  </w:footnote>
  <w:footnote w:id="3">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‘Chernetsov Sevir’, </w:t>
      </w:r>
      <w:r w:rsidRPr="004C5955">
        <w:rPr>
          <w:rFonts w:ascii="Times New Roman" w:hAnsi="Times New Roman" w:cs="Times New Roman"/>
          <w:i/>
          <w:iCs/>
        </w:rPr>
        <w:t>EAe</w:t>
      </w:r>
      <w:r w:rsidRPr="004C5955">
        <w:rPr>
          <w:rFonts w:ascii="Times New Roman" w:hAnsi="Times New Roman" w:cs="Times New Roman"/>
        </w:rPr>
        <w:t>, V (201</w:t>
      </w:r>
      <w:r>
        <w:rPr>
          <w:rFonts w:ascii="Times New Roman" w:hAnsi="Times New Roman" w:cs="Times New Roman"/>
        </w:rPr>
        <w:t>4), 292 (Serguei Frantsouzoff).</w:t>
      </w:r>
    </w:p>
  </w:footnote>
  <w:footnote w:id="5">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For further details see: Mersha Aleghege 2015, 156. </w:t>
      </w:r>
    </w:p>
  </w:footnote>
  <w:footnote w:id="7">
    <w:p w:rsidR="00C21B7E" w:rsidRPr="004C5955" w:rsidRDefault="00C21B7E" w:rsidP="00C21B7E">
      <w:pPr>
        <w:pStyle w:val="FootnoteText"/>
        <w:shd w:val="clear" w:color="auto" w:fill="92D050"/>
        <w:jc w:val="both"/>
        <w:rPr>
          <w:rFonts w:ascii="Times New Roman" w:hAnsi="Times New Roman" w:cs="Times New Roman"/>
        </w:rPr>
      </w:pPr>
      <w:r w:rsidRPr="0048164E">
        <w:rPr>
          <w:rStyle w:val="FootnoteReference"/>
          <w:rFonts w:ascii="Times New Roman" w:hAnsi="Times New Roman" w:cs="Times New Roman"/>
        </w:rPr>
        <w:footnoteRef/>
      </w:r>
      <w:r w:rsidRPr="004C5955">
        <w:rPr>
          <w:rFonts w:ascii="Times New Roman" w:hAnsi="Times New Roman" w:cs="Times New Roman"/>
        </w:rPr>
        <w:t xml:space="preserve">Sergew Hable Sellassie 1972, 3. </w:t>
      </w:r>
    </w:p>
  </w:footnote>
  <w:footnote w:id="8">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C21B7E" w:rsidRPr="004C5955" w:rsidRDefault="00C21B7E" w:rsidP="00C21B7E">
      <w:pPr>
        <w:pStyle w:val="FootnoteText"/>
        <w:shd w:val="clear" w:color="auto" w:fill="92D050"/>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Brita 2010. </w:t>
      </w:r>
    </w:p>
  </w:footnote>
  <w:footnote w:id="11">
    <w:p w:rsidR="00C21B7E" w:rsidRPr="004C5955" w:rsidRDefault="00C21B7E" w:rsidP="00C21B7E">
      <w:pPr>
        <w:shd w:val="clear" w:color="auto" w:fill="92D050"/>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Marrassini 2012. Is</w:t>
      </w:r>
      <w:r w:rsidRPr="004C5955">
        <w:rPr>
          <w:rFonts w:ascii="Times New Roman" w:eastAsia="LudolfusNormal" w:hAnsi="Times New Roman" w:cs="Times New Roman"/>
          <w:sz w:val="20"/>
          <w:szCs w:val="20"/>
        </w:rPr>
        <w:t xml:space="preserve"> an Ethiopian saint credited with the evangelization of the region of Mänz in Šäwa in the 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 xml:space="preserve">cent. </w:t>
      </w:r>
    </w:p>
  </w:footnote>
  <w:footnote w:id="12">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Samuel Wäldä Yoḥannǝs 1997, 2011. </w:t>
      </w:r>
    </w:p>
  </w:footnote>
  <w:footnote w:id="13">
    <w:p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Solomon Gebreyes 2016, 5.</w:t>
      </w:r>
    </w:p>
  </w:footnote>
  <w:footnote w:id="15">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Solomon Gebreyes 2016, 5.</w:t>
      </w:r>
    </w:p>
  </w:footnote>
  <w:footnote w:id="16">
    <w:p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 xml:space="preserve">e King s were not belonging to Solomonic descent or that there was not </w:t>
      </w:r>
      <w:r w:rsidRPr="0048164E">
        <w:rPr>
          <w:rFonts w:ascii="Times New Roman" w:eastAsia="StempelGaramond-Roman" w:hAnsi="Times New Roman" w:cs="Times New Roman"/>
          <w:sz w:val="20"/>
          <w:szCs w:val="20"/>
        </w:rPr>
        <w:t>blood lineage from the legendary Solomon and the Queen of Sheba. See: ‘Zag</w:t>
      </w:r>
      <w:r w:rsidRPr="0048164E">
        <w:rPr>
          <w:rFonts w:ascii="Times New Roman" w:eastAsia="StempelGaramond-Roman" w:hAnsi="Times New Roman" w:cs="Times New Roman"/>
          <w:sz w:val="20"/>
          <w:szCs w:val="20"/>
          <w:vertAlign w:val="superscript"/>
        </w:rPr>
        <w:t>w</w:t>
      </w:r>
      <w:r w:rsidRPr="0048164E">
        <w:rPr>
          <w:rFonts w:ascii="Times New Roman" w:eastAsia="StempelGaramond-Roman" w:hAnsi="Times New Roman" w:cs="Times New Roman"/>
          <w:sz w:val="20"/>
          <w:szCs w:val="20"/>
        </w:rPr>
        <w:t>e’,</w:t>
      </w:r>
      <w:r w:rsidRPr="0048164E">
        <w:rPr>
          <w:rFonts w:ascii="Times New Roman" w:hAnsi="Times New Roman" w:cs="Times New Roman"/>
          <w:i/>
          <w:iCs/>
          <w:color w:val="000000"/>
          <w:sz w:val="20"/>
          <w:szCs w:val="20"/>
        </w:rPr>
        <w:t xml:space="preserve"> EAe, </w:t>
      </w:r>
      <w:r w:rsidRPr="0048164E">
        <w:rPr>
          <w:rFonts w:ascii="Times New Roman" w:hAnsi="Times New Roman" w:cs="Times New Roman"/>
          <w:iCs/>
          <w:color w:val="000000"/>
          <w:sz w:val="20"/>
          <w:szCs w:val="20"/>
        </w:rPr>
        <w:t>IV (2010), 107a-114a (Gianfranco Fiaccadori).</w:t>
      </w:r>
      <w:r w:rsidRPr="0048164E">
        <w:rPr>
          <w:rFonts w:ascii="Times New Roman" w:eastAsia="StempelGaramond-Roman" w:hAnsi="Times New Roman" w:cs="Times New Roman"/>
          <w:sz w:val="20"/>
          <w:szCs w:val="20"/>
        </w:rPr>
        <w:t xml:space="preserve"> </w:t>
      </w:r>
    </w:p>
  </w:footnote>
  <w:footnote w:id="1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Taddesse Tamrat 1970; Marrassini 2012.</w:t>
      </w:r>
    </w:p>
  </w:footnote>
  <w:footnote w:id="18">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Samuel Wäldä Yoḥannǝs 1997, 212. </w:t>
      </w:r>
    </w:p>
  </w:footnote>
  <w:footnote w:id="19">
    <w:p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term of address and reference for an Ethiopian emperor. </w:t>
      </w:r>
    </w:p>
  </w:footnote>
  <w:footnote w:id="20">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r w:rsidRPr="0048164E">
        <w:rPr>
          <w:rFonts w:ascii="Times New Roman" w:hAnsi="Times New Roman" w:cs="Times New Roman"/>
          <w:i/>
        </w:rPr>
        <w:t xml:space="preserve">aṣe </w:t>
      </w:r>
      <w:r w:rsidRPr="0048164E">
        <w:rPr>
          <w:rFonts w:ascii="Times New Roman" w:hAnsi="Times New Roman" w:cs="Times New Roman"/>
        </w:rPr>
        <w:t>Iyasu II (r. 1730-55).</w:t>
      </w:r>
    </w:p>
  </w:footnote>
  <w:footnote w:id="21">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Gonderia</w:t>
      </w:r>
      <w:r w:rsidR="0039354A">
        <w:rPr>
          <w:rFonts w:ascii="Times New Roman" w:hAnsi="Times New Roman" w:cs="Times New Roman"/>
        </w:rPr>
        <w:t xml:space="preserve">n King s literally rendered as </w:t>
      </w:r>
      <w:r w:rsidRPr="0048164E">
        <w:rPr>
          <w:rFonts w:ascii="Times New Roman" w:hAnsi="Times New Roman" w:cs="Times New Roman"/>
        </w:rPr>
        <w:t>Aläm Sägäd  (‘the world submitted’) , 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r w:rsidRPr="0048164E">
        <w:rPr>
          <w:rFonts w:ascii="Times New Roman" w:hAnsi="Times New Roman" w:cs="Times New Roman"/>
        </w:rPr>
        <w:t xml:space="preserve"> Sägäd  (‘thou</w:t>
      </w:r>
      <w:r w:rsidR="004B05D6">
        <w:rPr>
          <w:rFonts w:ascii="Times New Roman" w:hAnsi="Times New Roman" w:cs="Times New Roman"/>
        </w:rPr>
        <w:t xml:space="preserve">sands submitted’), Adyam Sägäd </w:t>
      </w:r>
      <w:r w:rsidRPr="0048164E">
        <w:rPr>
          <w:rFonts w:ascii="Times New Roman" w:hAnsi="Times New Roman" w:cs="Times New Roman"/>
        </w:rPr>
        <w:t xml:space="preserve">(‘the confines of the earth submitted’), LǝŸul Sägäd  (‘the exalted submitted’), Aìrar Sägäd  (‘the enemies submitted’), </w:t>
      </w:r>
      <w:r w:rsidR="00A14F53">
        <w:rPr>
          <w:rFonts w:ascii="Times New Roman" w:hAnsi="Times New Roman" w:cs="Times New Roman"/>
        </w:rPr>
        <w:t>Ṡ</w:t>
      </w:r>
      <w:r w:rsidRPr="0048164E">
        <w:rPr>
          <w:rFonts w:ascii="Times New Roman" w:hAnsi="Times New Roman" w:cs="Times New Roman"/>
        </w:rPr>
        <w:t>ähay Sägäd  (‘the sun bowed’), Adbar Sägäd (‘the mountains bowed’), Mesihe Sägäd  (‘the anointed submitted’). Berry, 1976, 155.</w:t>
      </w:r>
    </w:p>
  </w:footnote>
  <w:footnote w:id="22">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Täklä Sadǝq Mäkuriya 1960, 281.</w:t>
      </w:r>
    </w:p>
  </w:footnote>
  <w:footnote w:id="23">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Boll 2009, 65.</w:t>
      </w:r>
    </w:p>
  </w:footnote>
  <w:footnote w:id="24">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Berry 1976, 149.</w:t>
      </w:r>
    </w:p>
  </w:footnote>
  <w:footnote w:id="25">
    <w:p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r w:rsidRPr="0048164E">
        <w:rPr>
          <w:rFonts w:ascii="Times New Roman" w:eastAsia="StempelGaramond-Roman" w:hAnsi="Times New Roman" w:cs="Times New Roman"/>
          <w:sz w:val="20"/>
          <w:szCs w:val="20"/>
        </w:rPr>
        <w:t xml:space="preserve">Täklä Haymanot. It was originally called Däbrä Asäbot, its name being changed in the reign of </w:t>
      </w:r>
      <w:r w:rsidRPr="00C21B7E">
        <w:rPr>
          <w:rFonts w:ascii="Times New Roman" w:hAnsi="Times New Roman" w:cs="Times New Roman"/>
          <w:sz w:val="20"/>
          <w:szCs w:val="20"/>
          <w:shd w:val="clear" w:color="auto" w:fill="FFFF00"/>
        </w:rPr>
        <w:t>Zärʾa Yaʿǝqob</w:t>
      </w:r>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r w:rsidRPr="0048164E">
        <w:rPr>
          <w:rFonts w:ascii="Nyala" w:eastAsia="Ethiopic Unicode" w:hAnsi="Nyala" w:cs="Nyala"/>
        </w:rPr>
        <w:t>ተዋሕዶ</w:t>
      </w:r>
      <w:r w:rsidRPr="0048164E">
        <w:rPr>
          <w:rFonts w:ascii="Times New Roman" w:eastAsia="Ethiopic Unicode"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means ‘fusion’ or ‘unity’. See Leslau 1991, 609. Here </w:t>
      </w:r>
      <w:r w:rsidRPr="0048164E">
        <w:rPr>
          <w:rFonts w:ascii="Nyala" w:eastAsia="Ethiopic Unicode" w:hAnsi="Nyala" w:cs="Nyala"/>
        </w:rPr>
        <w:t>ተዋሕዶ</w:t>
      </w:r>
      <w:r w:rsidRPr="0048164E">
        <w:rPr>
          <w:rFonts w:ascii="Times New Roman" w:hAnsi="Times New Roman" w:cs="Times New Roman"/>
        </w:rPr>
        <w:t xml:space="preserve">, </w:t>
      </w:r>
      <w:r w:rsidRPr="0048164E">
        <w:rPr>
          <w:rFonts w:ascii="Times New Roman" w:eastAsia="StempelGaramond-Roman" w:hAnsi="Times New Roman" w:cs="Times New Roman"/>
          <w:iCs/>
        </w:rPr>
        <w:t>Täwahǝdo</w:t>
      </w:r>
      <w:r w:rsidRPr="0048164E">
        <w:rPr>
          <w:rFonts w:ascii="Times New Roman" w:hAnsi="Times New Roman" w:cs="Times New Roman"/>
        </w:rPr>
        <w:t xml:space="preserve"> refers to the fusing of humanity and divinity in the person of Christ and is a reflection of the non- Chalcedonian miaphysite Christology of the Ethiopian Orthodox Church.</w:t>
      </w:r>
    </w:p>
  </w:footnote>
  <w:footnote w:id="2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he monastic congregation of Dabra Libanos of Šawa</w:t>
      </w:r>
    </w:p>
  </w:footnote>
  <w:footnote w:id="28">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‘Iyasu I’,</w:t>
      </w:r>
      <w:r w:rsidRPr="0048164E">
        <w:rPr>
          <w:rFonts w:ascii="Times New Roman" w:hAnsi="Times New Roman" w:cs="Times New Roman"/>
          <w:i/>
        </w:rPr>
        <w:t xml:space="preserve"> EAe</w:t>
      </w:r>
      <w:r w:rsidRPr="0048164E">
        <w:rPr>
          <w:rFonts w:ascii="Times New Roman" w:hAnsi="Times New Roman" w:cs="Times New Roman"/>
        </w:rPr>
        <w:t>, III(2007),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Bosc-Tiesse).</w:t>
      </w:r>
    </w:p>
  </w:footnote>
  <w:footnote w:id="29">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eastAsia="StempelGaramond-Roman" w:hAnsi="Times New Roman" w:cs="Times New Roman"/>
        </w:rPr>
        <w:t>Boll 2009, 65.</w:t>
      </w:r>
    </w:p>
  </w:footnote>
  <w:footnote w:id="30">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Täklä Haymanot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r w:rsidRPr="0048164E">
        <w:rPr>
          <w:rFonts w:ascii="Times New Roman" w:hAnsi="Times New Roman" w:cs="Times New Roman"/>
          <w:i/>
          <w:iCs/>
        </w:rPr>
        <w:t>aṣe</w:t>
      </w:r>
      <w:r w:rsidRPr="0048164E">
        <w:rPr>
          <w:rFonts w:ascii="Times New Roman" w:hAnsi="Times New Roman" w:cs="Times New Roman"/>
        </w:rPr>
        <w:t xml:space="preserve">Iyasu I. He had his father murdered and consequently he was styled </w:t>
      </w:r>
      <w:r w:rsidRPr="0048164E">
        <w:rPr>
          <w:rFonts w:ascii="Nyala" w:eastAsia="Ethiopic Unicode" w:hAnsi="Nyala" w:cs="Nyala"/>
        </w:rPr>
        <w:t>እርጉም</w:t>
      </w:r>
      <w:r w:rsidRPr="0048164E">
        <w:rPr>
          <w:rFonts w:ascii="Times New Roman" w:hAnsi="Times New Roman" w:cs="Times New Roman"/>
        </w:rPr>
        <w:t xml:space="preserve"> (‘The Cursed’). Budge 1928, 425</w:t>
      </w:r>
      <w:r w:rsidRPr="0048164E">
        <w:rPr>
          <w:rFonts w:ascii="Times New Roman" w:eastAsia="Ethiopic Unicode" w:hAnsi="Times New Roman" w:cs="Times New Roman"/>
        </w:rPr>
        <w:t>–</w:t>
      </w:r>
      <w:r w:rsidRPr="0048164E">
        <w:rPr>
          <w:rFonts w:ascii="Times New Roman" w:hAnsi="Times New Roman" w:cs="Times New Roman"/>
        </w:rPr>
        <w:t>34.</w:t>
      </w:r>
    </w:p>
  </w:footnote>
  <w:footnote w:id="31">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r w:rsidRPr="0048164E">
        <w:rPr>
          <w:rFonts w:ascii="Times New Roman" w:hAnsi="Times New Roman" w:cs="Times New Roman"/>
          <w:i/>
        </w:rPr>
        <w:t xml:space="preserve">aṣe </w:t>
      </w:r>
      <w:r w:rsidRPr="0048164E">
        <w:rPr>
          <w:rFonts w:ascii="Times New Roman" w:hAnsi="Times New Roman" w:cs="Times New Roman"/>
        </w:rPr>
        <w:t xml:space="preserve">Iyasu I preference to the religious doctrine of the ‘unionists’, whereas his son of Täklä Haymanot supported by Goğğam </w:t>
      </w:r>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r w:rsidRPr="0048164E">
        <w:rPr>
          <w:rFonts w:ascii="Times New Roman" w:hAnsi="Times New Roman" w:cs="Times New Roman"/>
        </w:rPr>
        <w:t xml:space="preserve"> ‘Unctionists’, most probably one cause of his death was doctrinal differences.</w:t>
      </w:r>
    </w:p>
  </w:footnote>
  <w:footnote w:id="32">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r w:rsidRPr="0048164E">
        <w:rPr>
          <w:rFonts w:ascii="Times New Roman" w:hAnsi="Times New Roman" w:cs="Times New Roman"/>
          <w:i/>
          <w:iCs/>
        </w:rPr>
        <w:t>Sǝnkǝssar</w:t>
      </w:r>
      <w:r w:rsidRPr="0048164E">
        <w:rPr>
          <w:rFonts w:ascii="Times New Roman" w:hAnsi="Times New Roman" w:cs="Times New Roman"/>
        </w:rPr>
        <w:t xml:space="preserve"> manuscript BritLib Orient. 660</w:t>
      </w:r>
      <w:r w:rsidRPr="0048164E">
        <w:rPr>
          <w:rFonts w:ascii="Times New Roman" w:eastAsia="Ethiopic Unicode" w:hAnsi="Times New Roman" w:cs="Times New Roman"/>
        </w:rPr>
        <w:t xml:space="preserve">, </w:t>
      </w:r>
      <w:r w:rsidRPr="0048164E">
        <w:rPr>
          <w:rFonts w:ascii="Nyala" w:eastAsia="Ethiopic Unicode" w:hAnsi="Nyala" w:cs="Nyala"/>
        </w:rPr>
        <w:t>በዛቲ፡</w:t>
      </w:r>
      <w:r w:rsidRPr="0048164E">
        <w:rPr>
          <w:rFonts w:ascii="Times New Roman" w:eastAsia="Ethiopic Unicode" w:hAnsi="Times New Roman" w:cs="Times New Roman"/>
        </w:rPr>
        <w:t xml:space="preserve"> </w:t>
      </w:r>
      <w:r w:rsidRPr="0048164E">
        <w:rPr>
          <w:rFonts w:ascii="Nyala" w:eastAsia="Ethiopic Unicode" w:hAnsi="Nyala" w:cs="Nyala"/>
        </w:rPr>
        <w:t>ዕለት፡</w:t>
      </w:r>
      <w:r w:rsidRPr="0048164E">
        <w:rPr>
          <w:rFonts w:ascii="Times New Roman" w:eastAsia="Ethiopic Unicode" w:hAnsi="Times New Roman" w:cs="Times New Roman"/>
        </w:rPr>
        <w:t xml:space="preserve"> </w:t>
      </w:r>
      <w:r w:rsidRPr="0048164E">
        <w:rPr>
          <w:rFonts w:ascii="Nyala" w:eastAsia="Ethiopic Unicode" w:hAnsi="Nyala" w:cs="Nyala"/>
        </w:rPr>
        <w:t>አዕረፈ፡</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ወሰማዕት፡</w:t>
      </w:r>
      <w:r w:rsidRPr="0048164E">
        <w:rPr>
          <w:rFonts w:ascii="Times New Roman" w:eastAsia="Ethiopic Unicode" w:hAnsi="Times New Roman" w:cs="Times New Roman"/>
        </w:rPr>
        <w:t xml:space="preserve"> </w:t>
      </w:r>
      <w:r w:rsidRPr="0048164E">
        <w:rPr>
          <w:rFonts w:ascii="Nyala" w:eastAsia="Ethiopic Unicode" w:hAnsi="Nyala" w:cs="Nyala"/>
        </w:rPr>
        <w:t>ተመሳሊሁ፡</w:t>
      </w:r>
      <w:r w:rsidRPr="0048164E">
        <w:rPr>
          <w:rFonts w:ascii="Times New Roman" w:eastAsia="Ethiopic Unicode" w:hAnsi="Times New Roman" w:cs="Times New Roman"/>
        </w:rPr>
        <w:t xml:space="preserve"> </w:t>
      </w:r>
      <w:r w:rsidRPr="0048164E">
        <w:rPr>
          <w:rFonts w:ascii="Nyala" w:eastAsia="Ethiopic Unicode" w:hAnsi="Nyala" w:cs="Nyala"/>
        </w:rPr>
        <w:t>ለአቤል፡</w:t>
      </w:r>
      <w:r w:rsidRPr="0048164E">
        <w:rPr>
          <w:rFonts w:ascii="Times New Roman" w:eastAsia="Ethiopic Unicode" w:hAnsi="Times New Roman" w:cs="Times New Roman"/>
        </w:rPr>
        <w:t xml:space="preserve"> </w:t>
      </w:r>
      <w:r w:rsidRPr="0048164E">
        <w:rPr>
          <w:rFonts w:ascii="Nyala" w:eastAsia="Ethiopic Unicode" w:hAnsi="Nyala" w:cs="Nyala"/>
        </w:rPr>
        <w:t>ዘተክዕወ፡</w:t>
      </w:r>
      <w:r w:rsidRPr="0048164E">
        <w:rPr>
          <w:rFonts w:ascii="Times New Roman" w:eastAsia="Ethiopic Unicode" w:hAnsi="Times New Roman" w:cs="Times New Roman"/>
        </w:rPr>
        <w:t xml:space="preserve"> </w:t>
      </w:r>
      <w:r w:rsidRPr="0048164E">
        <w:rPr>
          <w:rFonts w:ascii="Nyala" w:eastAsia="Ethiopic Unicode" w:hAnsi="Nyala" w:cs="Nyala"/>
        </w:rPr>
        <w:t>ደሙ፡</w:t>
      </w:r>
      <w:r w:rsidRPr="0048164E">
        <w:rPr>
          <w:rFonts w:ascii="Times New Roman" w:eastAsia="Ethiopic Unicode" w:hAnsi="Times New Roman" w:cs="Times New Roman"/>
        </w:rPr>
        <w:t xml:space="preserve"> </w:t>
      </w:r>
      <w:r w:rsidRPr="0048164E">
        <w:rPr>
          <w:rFonts w:ascii="Nyala" w:eastAsia="Ethiopic Unicode" w:hAnsi="Nyala" w:cs="Nyala"/>
        </w:rPr>
        <w:t>በዓመፃ፡</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ሰማዕተ፡</w:t>
      </w:r>
      <w:r w:rsidRPr="0048164E">
        <w:rPr>
          <w:rFonts w:ascii="Times New Roman" w:eastAsia="Ethiopic Unicode" w:hAnsi="Times New Roman" w:cs="Times New Roman"/>
        </w:rPr>
        <w:t xml:space="preserve"> </w:t>
      </w:r>
      <w:r w:rsidRPr="0048164E">
        <w:rPr>
          <w:rFonts w:ascii="Nyala" w:eastAsia="Ethiopic Unicode" w:hAnsi="Nyala" w:cs="Nyala"/>
        </w:rPr>
        <w:t>ወለድዎ፡</w:t>
      </w:r>
      <w:r w:rsidRPr="0048164E">
        <w:rPr>
          <w:rFonts w:ascii="Times New Roman" w:eastAsia="Ethiopic Unicode" w:hAnsi="Times New Roman" w:cs="Times New Roman"/>
        </w:rPr>
        <w:t xml:space="preserve"> </w:t>
      </w:r>
      <w:r w:rsidRPr="0048164E">
        <w:rPr>
          <w:rFonts w:ascii="Nyala" w:eastAsia="Ethiopic Unicode" w:hAnsi="Nyala" w:cs="Nyala"/>
        </w:rPr>
        <w:t>በፆም፡</w:t>
      </w:r>
      <w:r w:rsidRPr="0048164E">
        <w:rPr>
          <w:rFonts w:ascii="Times New Roman" w:eastAsia="Ethiopic Unicode" w:hAnsi="Times New Roman" w:cs="Times New Roman"/>
        </w:rPr>
        <w:t xml:space="preserve"> </w:t>
      </w:r>
      <w:r w:rsidRPr="0048164E">
        <w:rPr>
          <w:rFonts w:ascii="Nyala" w:eastAsia="Ethiopic Unicode" w:hAnsi="Nyala" w:cs="Nyala"/>
        </w:rPr>
        <w:t>ወበጸሎት፡</w:t>
      </w:r>
      <w:r w:rsidRPr="0048164E">
        <w:rPr>
          <w:rFonts w:ascii="Times New Roman" w:eastAsia="Ethiopic Unicode" w:hAnsi="Times New Roman" w:cs="Times New Roman"/>
        </w:rPr>
        <w:t xml:space="preserve"> </w:t>
      </w:r>
      <w:r w:rsidRPr="0048164E">
        <w:rPr>
          <w:rFonts w:ascii="Nyala" w:eastAsia="Ethiopic Unicode" w:hAnsi="Nyala" w:cs="Nyala"/>
        </w:rPr>
        <w:t>ንጉሥ፡</w:t>
      </w:r>
      <w:r w:rsidRPr="0048164E">
        <w:rPr>
          <w:rFonts w:ascii="Times New Roman" w:eastAsia="Ethiopic Unicode" w:hAnsi="Times New Roman" w:cs="Times New Roman"/>
        </w:rPr>
        <w:t xml:space="preserve"> </w:t>
      </w:r>
      <w:r w:rsidRPr="0048164E">
        <w:rPr>
          <w:rFonts w:ascii="Nyala" w:eastAsia="Ethiopic Unicode" w:hAnsi="Nyala" w:cs="Nyala"/>
        </w:rPr>
        <w:t>ዮሐንስ፡</w:t>
      </w:r>
      <w:r w:rsidRPr="0048164E">
        <w:rPr>
          <w:rFonts w:ascii="Times New Roman" w:eastAsia="Ethiopic Unicode" w:hAnsi="Times New Roman" w:cs="Times New Roman"/>
        </w:rPr>
        <w:t xml:space="preserve"> </w:t>
      </w:r>
      <w:r w:rsidRPr="0048164E">
        <w:rPr>
          <w:rFonts w:ascii="Nyala" w:eastAsia="Ethiopic Unicode" w:hAnsi="Nyala" w:cs="Nyala"/>
        </w:rPr>
        <w:t>ጻድቅ፡</w:t>
      </w:r>
      <w:r w:rsidRPr="0048164E">
        <w:rPr>
          <w:rFonts w:ascii="Times New Roman" w:eastAsia="Ethiopic Unicode" w:hAnsi="Times New Roman" w:cs="Times New Roman"/>
        </w:rPr>
        <w:t xml:space="preserve"> </w:t>
      </w:r>
      <w:r w:rsidRPr="0048164E">
        <w:rPr>
          <w:rFonts w:ascii="Nyala" w:eastAsia="Ethiopic Unicode" w:hAnsi="Nyala" w:cs="Nyala"/>
        </w:rPr>
        <w:t>ዘብሔረ፡</w:t>
      </w:r>
      <w:r w:rsidRPr="0048164E">
        <w:rPr>
          <w:rFonts w:ascii="Times New Roman" w:eastAsia="Ethiopic Unicode" w:hAnsi="Times New Roman" w:cs="Times New Roman"/>
        </w:rPr>
        <w:t xml:space="preserve"> </w:t>
      </w:r>
      <w:r w:rsidRPr="0048164E">
        <w:rPr>
          <w:rFonts w:ascii="Nyala" w:eastAsia="Ethiopic Unicode" w:hAnsi="Nyala" w:cs="Nyala"/>
        </w:rPr>
        <w:t>ኢትዮጵያ፡</w:t>
      </w:r>
      <w:r w:rsidRPr="0048164E">
        <w:rPr>
          <w:rFonts w:ascii="Times New Roman" w:eastAsia="Ethiopic Unicode" w:hAnsi="Times New Roman" w:cs="Times New Roman"/>
        </w:rPr>
        <w:t xml:space="preserve"> </w:t>
      </w:r>
      <w:r w:rsidRPr="0048164E">
        <w:rPr>
          <w:rFonts w:ascii="Nyala" w:eastAsia="Ethiopic Unicode" w:hAnsi="Nyala" w:cs="Nyala"/>
        </w:rPr>
        <w:t>ወንግሥት፡</w:t>
      </w:r>
      <w:r w:rsidRPr="0048164E">
        <w:rPr>
          <w:rFonts w:ascii="Times New Roman" w:eastAsia="Ethiopic Unicode" w:hAnsi="Times New Roman" w:cs="Times New Roman"/>
        </w:rPr>
        <w:t xml:space="preserve"> </w:t>
      </w:r>
      <w:r w:rsidRPr="0048164E">
        <w:rPr>
          <w:rFonts w:ascii="Nyala" w:eastAsia="Ethiopic Unicode" w:hAnsi="Nyala" w:cs="Nyala"/>
        </w:rPr>
        <w:t>ሰብለ፡</w:t>
      </w:r>
      <w:r w:rsidRPr="0048164E">
        <w:rPr>
          <w:rFonts w:ascii="Times New Roman" w:eastAsia="Ethiopic Unicode" w:hAnsi="Times New Roman" w:cs="Times New Roman"/>
        </w:rPr>
        <w:t xml:space="preserve"> </w:t>
      </w:r>
      <w:r w:rsidRPr="0048164E">
        <w:rPr>
          <w:rFonts w:ascii="Nyala" w:eastAsia="Ethiopic Unicode" w:hAnsi="Nyala" w:cs="Nyala"/>
        </w:rPr>
        <w:t>ወንጌል፡</w:t>
      </w:r>
      <w:r w:rsidRPr="0048164E">
        <w:rPr>
          <w:rFonts w:ascii="Times New Roman" w:eastAsia="Ethiopic Unicode" w:hAnsi="Times New Roman" w:cs="Times New Roman"/>
        </w:rPr>
        <w:t xml:space="preserve"> </w:t>
      </w:r>
      <w:r w:rsidRPr="0048164E">
        <w:rPr>
          <w:rFonts w:ascii="Nyala" w:eastAsia="Ethiopic Unicode" w:hAnsi="Nyala" w:cs="Nyala"/>
        </w:rPr>
        <w:t>ፈራሂተ፡</w:t>
      </w:r>
      <w:r w:rsidRPr="0048164E">
        <w:rPr>
          <w:rFonts w:ascii="Times New Roman" w:eastAsia="Ethiopic Unicode" w:hAnsi="Times New Roman" w:cs="Times New Roman"/>
        </w:rPr>
        <w:t xml:space="preserve"> </w:t>
      </w:r>
      <w:r w:rsidRPr="0048164E">
        <w:rPr>
          <w:rFonts w:ascii="Nyala" w:eastAsia="Ethiopic Unicode" w:hAnsi="Nyala" w:cs="Nyala"/>
        </w:rPr>
        <w:t>እግዚአብሔር፡፡</w:t>
      </w:r>
      <w:r w:rsidRPr="0048164E">
        <w:rPr>
          <w:rFonts w:ascii="Times New Roman" w:eastAsia="Ethiopic Unicode" w:hAnsi="Times New Roman" w:cs="Times New Roman"/>
        </w:rPr>
        <w:t xml:space="preserve"> (‘On this day died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Iyasu I, King and martyr, who was the likeness of Abel, whose blood was poured out through violence. </w:t>
      </w:r>
      <w:r w:rsidRPr="0048164E">
        <w:rPr>
          <w:rFonts w:ascii="Times New Roman" w:eastAsia="Ethiopic Unicode" w:hAnsi="Times New Roman" w:cs="Times New Roman"/>
          <w:i/>
        </w:rPr>
        <w:t xml:space="preserve">aṣe </w:t>
      </w:r>
      <w:r w:rsidRPr="0048164E">
        <w:rPr>
          <w:rFonts w:ascii="Times New Roman" w:eastAsia="Ethiopic Unicode" w:hAnsi="Times New Roman" w:cs="Times New Roman"/>
        </w:rPr>
        <w:t xml:space="preserve">Yohannǝs, the righteous King of the country of Ethiopia, and his God-fearing Queen Säblä Wängle, got this [man] Iyasu by fasting and by prayer). </w:t>
      </w:r>
      <w:r w:rsidRPr="0048164E">
        <w:rPr>
          <w:rFonts w:ascii="Times New Roman" w:hAnsi="Times New Roman" w:cs="Times New Roman"/>
        </w:rPr>
        <w:t xml:space="preserve">It ends with the words </w:t>
      </w:r>
      <w:r w:rsidRPr="0048164E">
        <w:rPr>
          <w:rFonts w:ascii="Nyala" w:eastAsia="Ethiopic Unicode" w:hAnsi="Nyala" w:cs="Nyala"/>
        </w:rPr>
        <w:t>በረከተ፡</w:t>
      </w:r>
      <w:r w:rsidRPr="0048164E">
        <w:rPr>
          <w:rFonts w:ascii="Times New Roman" w:eastAsia="Ethiopic Unicode" w:hAnsi="Times New Roman" w:cs="Times New Roman"/>
        </w:rPr>
        <w:t xml:space="preserve"> </w:t>
      </w:r>
      <w:r w:rsidRPr="0048164E">
        <w:rPr>
          <w:rFonts w:ascii="Nyala" w:eastAsia="Ethiopic Unicode" w:hAnsi="Nyala" w:cs="Nyala"/>
        </w:rPr>
        <w:t>ጸሎቱ፡</w:t>
      </w:r>
      <w:r w:rsidRPr="0048164E">
        <w:rPr>
          <w:rFonts w:ascii="Times New Roman" w:eastAsia="Ethiopic Unicode" w:hAnsi="Times New Roman" w:cs="Times New Roman"/>
        </w:rPr>
        <w:t xml:space="preserve"> </w:t>
      </w:r>
      <w:r w:rsidRPr="0048164E">
        <w:rPr>
          <w:rFonts w:ascii="Nyala" w:eastAsia="Ethiopic Unicode" w:hAnsi="Nyala" w:cs="Nyala"/>
        </w:rPr>
        <w:t>ለዝንቱ፡</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ሰማዕት፡</w:t>
      </w:r>
      <w:r w:rsidRPr="0048164E">
        <w:rPr>
          <w:rFonts w:ascii="Times New Roman" w:eastAsia="Ethiopic Unicode" w:hAnsi="Times New Roman" w:cs="Times New Roman"/>
        </w:rPr>
        <w:t xml:space="preserve"> </w:t>
      </w:r>
      <w:r w:rsidRPr="0048164E">
        <w:rPr>
          <w:rFonts w:ascii="Nyala" w:eastAsia="Ethiopic Unicode" w:hAnsi="Nyala" w:cs="Nyala"/>
        </w:rPr>
        <w:t>የሀሉ፡</w:t>
      </w:r>
      <w:r w:rsidRPr="0048164E">
        <w:rPr>
          <w:rFonts w:ascii="Times New Roman" w:eastAsia="Ethiopic Unicode" w:hAnsi="Times New Roman" w:cs="Times New Roman"/>
        </w:rPr>
        <w:t xml:space="preserve"> </w:t>
      </w:r>
      <w:r w:rsidRPr="0048164E">
        <w:rPr>
          <w:rFonts w:ascii="Nyala" w:eastAsia="Ethiopic Unicode" w:hAnsi="Nyala" w:cs="Nyala"/>
        </w:rPr>
        <w:t>ምስለ፡</w:t>
      </w:r>
      <w:r w:rsidRPr="0048164E">
        <w:rPr>
          <w:rFonts w:ascii="Times New Roman" w:eastAsia="Ethiopic Unicode" w:hAnsi="Times New Roman" w:cs="Times New Roman"/>
        </w:rPr>
        <w:t xml:space="preserve"> </w:t>
      </w:r>
      <w:r w:rsidRPr="0048164E">
        <w:rPr>
          <w:rFonts w:ascii="Nyala" w:eastAsia="Ethiopic Unicode" w:hAnsi="Nyala" w:cs="Nyala"/>
        </w:rPr>
        <w:t>ወልዱ፡</w:t>
      </w:r>
      <w:r w:rsidRPr="0048164E">
        <w:rPr>
          <w:rFonts w:ascii="Times New Roman" w:eastAsia="Ethiopic Unicode" w:hAnsi="Times New Roman" w:cs="Times New Roman"/>
        </w:rPr>
        <w:t xml:space="preserve"> </w:t>
      </w:r>
      <w:r w:rsidRPr="0048164E">
        <w:rPr>
          <w:rFonts w:ascii="Nyala" w:eastAsia="Ethiopic Unicode" w:hAnsi="Nyala" w:cs="Nyala"/>
        </w:rPr>
        <w:t>ንጉሥነ፡</w:t>
      </w:r>
      <w:r w:rsidRPr="0048164E">
        <w:rPr>
          <w:rFonts w:ascii="Times New Roman" w:eastAsia="Ethiopic Unicode" w:hAnsi="Times New Roman" w:cs="Times New Roman"/>
        </w:rPr>
        <w:t xml:space="preserve"> </w:t>
      </w:r>
      <w:r w:rsidRPr="0048164E">
        <w:rPr>
          <w:rFonts w:ascii="Nyala" w:eastAsia="Ethiopic Unicode" w:hAnsi="Nyala" w:cs="Nyala"/>
        </w:rPr>
        <w:t>ኢያሱ፡</w:t>
      </w:r>
      <w:r w:rsidRPr="0048164E">
        <w:rPr>
          <w:rFonts w:ascii="Times New Roman" w:eastAsia="Ethiopic Unicode" w:hAnsi="Times New Roman" w:cs="Times New Roman"/>
        </w:rPr>
        <w:t xml:space="preserve"> </w:t>
      </w:r>
      <w:r w:rsidRPr="0048164E">
        <w:rPr>
          <w:rFonts w:ascii="Nyala" w:eastAsia="Ethiopic Unicode" w:hAnsi="Nyala" w:cs="Nyala"/>
        </w:rPr>
        <w:t>ወምስሌኒሁ፡</w:t>
      </w:r>
      <w:r w:rsidRPr="0048164E">
        <w:rPr>
          <w:rFonts w:ascii="Times New Roman" w:eastAsia="Ethiopic Unicode" w:hAnsi="Times New Roman" w:cs="Times New Roman"/>
        </w:rPr>
        <w:t xml:space="preserve"> </w:t>
      </w:r>
      <w:r w:rsidRPr="0048164E">
        <w:rPr>
          <w:rFonts w:ascii="Nyala" w:eastAsia="Ethiopic Unicode" w:hAnsi="Nyala" w:cs="Nyala"/>
        </w:rPr>
        <w:t>ሰማዕያን፡</w:t>
      </w:r>
      <w:r w:rsidRPr="0048164E">
        <w:rPr>
          <w:rFonts w:ascii="Times New Roman" w:eastAsia="Ethiopic Unicode" w:hAnsi="Times New Roman" w:cs="Times New Roman"/>
        </w:rPr>
        <w:t xml:space="preserve"> </w:t>
      </w:r>
      <w:r w:rsidRPr="0048164E">
        <w:rPr>
          <w:rFonts w:ascii="Nyala" w:eastAsia="Ethiopic Unicode" w:hAnsi="Nyala" w:cs="Nyala"/>
        </w:rPr>
        <w:t>ለዓለመ</w:t>
      </w:r>
      <w:r w:rsidRPr="0048164E">
        <w:rPr>
          <w:rFonts w:ascii="Times New Roman" w:eastAsia="Ethiopic Unicode" w:hAnsi="Times New Roman" w:cs="Times New Roman"/>
        </w:rPr>
        <w:t xml:space="preserve"> </w:t>
      </w:r>
      <w:r w:rsidRPr="0048164E">
        <w:rPr>
          <w:rFonts w:ascii="Nyala" w:eastAsia="Ethiopic Unicode" w:hAnsi="Nyala" w:cs="Nyala"/>
        </w:rPr>
        <w:t>፡ዓለም፡</w:t>
      </w:r>
      <w:r w:rsidRPr="0048164E">
        <w:rPr>
          <w:rFonts w:ascii="Times New Roman" w:eastAsia="Ethiopic Unicode" w:hAnsi="Times New Roman" w:cs="Times New Roman"/>
        </w:rPr>
        <w:t xml:space="preserve"> </w:t>
      </w:r>
      <w:r w:rsidRPr="0048164E">
        <w:rPr>
          <w:rFonts w:ascii="Nyala" w:eastAsia="Ethiopic Unicode" w:hAnsi="Nyala" w:cs="Nyala"/>
        </w:rPr>
        <w:t>አሜን፡፡</w:t>
      </w:r>
      <w:r w:rsidRPr="0048164E">
        <w:rPr>
          <w:rFonts w:ascii="Times New Roman" w:eastAsia="Ethiopic Unicode" w:hAnsi="Times New Roman" w:cs="Times New Roman"/>
        </w:rPr>
        <w:t xml:space="preserve"> (May the blessing of the prayer of this aṣe Iyasu I be with his son our King Iyasu I, and with us who hear [his history] for ever and ever!)</w:t>
      </w:r>
      <w:r w:rsidRPr="0048164E">
        <w:rPr>
          <w:rFonts w:ascii="Times New Roman" w:hAnsi="Times New Roman" w:cs="Times New Roman"/>
        </w:rPr>
        <w:t>.</w:t>
      </w:r>
    </w:p>
  </w:footnote>
  <w:footnote w:id="33">
    <w:p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C21B7E">
        <w:rPr>
          <w:rFonts w:ascii="Times New Roman" w:eastAsia="StempelGaramond-Italic" w:hAnsi="Times New Roman" w:cs="Times New Roman"/>
          <w:i/>
          <w:iCs/>
          <w:sz w:val="20"/>
          <w:szCs w:val="20"/>
          <w:shd w:val="clear" w:color="auto" w:fill="FFFF00"/>
        </w:rPr>
        <w:t>Zena kal</w:t>
      </w:r>
      <w:r w:rsidRPr="00C21B7E">
        <w:rPr>
          <w:rFonts w:ascii="Times New Roman" w:eastAsia="StempelGaramond-Roman" w:hAnsi="Times New Roman" w:cs="Times New Roman"/>
          <w:i/>
          <w:iCs/>
          <w:sz w:val="20"/>
          <w:szCs w:val="20"/>
          <w:shd w:val="clear" w:color="auto" w:fill="FFFF00"/>
        </w:rPr>
        <w:t>ǝ’</w:t>
      </w:r>
      <w:r w:rsidRPr="004C5955">
        <w:rPr>
          <w:rFonts w:ascii="Times New Roman" w:eastAsia="StempelGaramond-Roman" w:hAnsi="Times New Roman" w:cs="Times New Roman"/>
          <w:sz w:val="20"/>
          <w:szCs w:val="20"/>
        </w:rPr>
        <w:t>) about Iyasu I’s entering Gondar. He lived as a cleric at Dabra B</w:t>
      </w:r>
      <w:r w:rsidRPr="004C5955">
        <w:rPr>
          <w:rFonts w:ascii="Times New Roman" w:hAnsi="Times New Roman" w:cs="Times New Roman"/>
          <w:sz w:val="20"/>
          <w:szCs w:val="20"/>
        </w:rPr>
        <w:t>ǝ</w:t>
      </w:r>
      <w:r w:rsidRPr="004C5955">
        <w:rPr>
          <w:rFonts w:ascii="Times New Roman" w:eastAsia="StempelGaramond-Roman" w:hAnsi="Times New Roman" w:cs="Times New Roman"/>
          <w:sz w:val="20"/>
          <w:szCs w:val="20"/>
        </w:rPr>
        <w:t xml:space="preserve">rhan </w:t>
      </w:r>
      <w:r w:rsidRPr="004C5955">
        <w:rPr>
          <w:rFonts w:ascii="Times New Roman" w:hAnsi="Times New Roman" w:cs="Times New Roman"/>
          <w:sz w:val="20"/>
          <w:szCs w:val="20"/>
        </w:rPr>
        <w:t>Sǝ</w:t>
      </w:r>
      <w:r w:rsidRPr="004C5955">
        <w:rPr>
          <w:rFonts w:ascii="Times New Roman" w:eastAsia="StempelGaramond-Roman" w:hAnsi="Times New Roman" w:cs="Times New Roman"/>
          <w:sz w:val="20"/>
          <w:szCs w:val="20"/>
        </w:rPr>
        <w:t xml:space="preserve">llaṣe   cathedral during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Täklä Haymanot. He resumed his pen as historiographer only in the reign of </w:t>
      </w:r>
      <w:r w:rsidRPr="004C5955">
        <w:rPr>
          <w:rFonts w:ascii="Times New Roman" w:eastAsia="StempelGaramond-Italic" w:hAnsi="Times New Roman" w:cs="Times New Roman"/>
          <w:i/>
          <w:iCs/>
          <w:sz w:val="20"/>
          <w:szCs w:val="20"/>
        </w:rPr>
        <w:t xml:space="preserve">aṣe </w:t>
      </w:r>
      <w:r w:rsidRPr="004C5955">
        <w:rPr>
          <w:rFonts w:ascii="Times New Roman" w:eastAsia="StempelGaramond-Roman" w:hAnsi="Times New Roman" w:cs="Times New Roman"/>
          <w:sz w:val="20"/>
          <w:szCs w:val="20"/>
        </w:rPr>
        <w:t xml:space="preserve">Bakaffa, in 1721, and was granted the official title of </w:t>
      </w:r>
      <w:r w:rsidRPr="00C21B7E">
        <w:rPr>
          <w:rFonts w:ascii="Times New Roman" w:eastAsia="StempelGaramond-Roman" w:hAnsi="Times New Roman" w:cs="Times New Roman"/>
          <w:i/>
          <w:iCs/>
          <w:sz w:val="20"/>
          <w:szCs w:val="20"/>
          <w:shd w:val="clear" w:color="auto" w:fill="FFFF00"/>
        </w:rPr>
        <w:t>s</w:t>
      </w:r>
      <w:r w:rsidRPr="00C21B7E">
        <w:rPr>
          <w:rFonts w:ascii="Times New Roman" w:eastAsia="StempelGaramond-Italic" w:hAnsi="Times New Roman" w:cs="Times New Roman"/>
          <w:i/>
          <w:iCs/>
          <w:sz w:val="20"/>
          <w:szCs w:val="20"/>
          <w:shd w:val="clear" w:color="auto" w:fill="FFFF00"/>
        </w:rPr>
        <w:t>ä</w:t>
      </w:r>
      <w:r w:rsidRPr="00C21B7E">
        <w:rPr>
          <w:rFonts w:ascii="Times New Roman" w:eastAsia="StempelGaramond-Roman" w:hAnsi="Times New Roman" w:cs="Times New Roman"/>
          <w:i/>
          <w:iCs/>
          <w:sz w:val="20"/>
          <w:szCs w:val="20"/>
          <w:shd w:val="clear" w:color="auto" w:fill="FFFF00"/>
        </w:rPr>
        <w:t>h</w:t>
      </w:r>
      <w:r w:rsidRPr="00C21B7E">
        <w:rPr>
          <w:rFonts w:ascii="Times New Roman" w:eastAsia="StempelGaramond-Italic" w:hAnsi="Times New Roman" w:cs="Times New Roman"/>
          <w:i/>
          <w:iCs/>
          <w:sz w:val="20"/>
          <w:szCs w:val="20"/>
          <w:shd w:val="clear" w:color="auto" w:fill="FFFF00"/>
        </w:rPr>
        <w:t>afe t</w:t>
      </w:r>
      <w:r w:rsidRPr="00C21B7E">
        <w:rPr>
          <w:rFonts w:ascii="Times New Roman" w:eastAsia="StempelGaramond-Roman" w:hAnsi="Times New Roman" w:cs="Times New Roman"/>
          <w:i/>
          <w:iCs/>
          <w:sz w:val="20"/>
          <w:szCs w:val="20"/>
          <w:shd w:val="clear" w:color="auto" w:fill="FFFF00"/>
        </w:rPr>
        <w:t>ǝ’ǝ</w:t>
      </w:r>
      <w:r w:rsidRPr="00C21B7E">
        <w:rPr>
          <w:rFonts w:ascii="Times New Roman" w:eastAsia="StempelGaramond-Italic" w:hAnsi="Times New Roman" w:cs="Times New Roman"/>
          <w:i/>
          <w:iCs/>
          <w:sz w:val="20"/>
          <w:szCs w:val="20"/>
          <w:shd w:val="clear" w:color="auto" w:fill="FFFF00"/>
        </w:rPr>
        <w:t>zaz</w:t>
      </w:r>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as late as 1723. He also wrote the first 27 chapters of the Chronicle of Bäkaffa.</w:t>
      </w:r>
      <w:r w:rsidRPr="004C5955">
        <w:rPr>
          <w:rFonts w:ascii="Times New Roman" w:hAnsi="Times New Roman" w:cs="Times New Roman"/>
          <w:sz w:val="20"/>
          <w:szCs w:val="20"/>
        </w:rPr>
        <w:t xml:space="preserve">‘Sinoda’,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 xml:space="preserve">669a (Sevir Chernetsov and Denis Nosnitsin); See also‘Historiography’, </w:t>
      </w:r>
      <w:r w:rsidRPr="004C5955">
        <w:rPr>
          <w:rFonts w:ascii="Times New Roman" w:hAnsi="Times New Roman" w:cs="Times New Roman"/>
          <w:i/>
          <w:iCs/>
          <w:sz w:val="20"/>
          <w:szCs w:val="20"/>
        </w:rPr>
        <w:t>EAe</w:t>
      </w:r>
      <w:r w:rsidRPr="004C5955">
        <w:rPr>
          <w:rFonts w:ascii="Times New Roman" w:hAnsi="Times New Roman" w:cs="Times New Roman"/>
          <w:sz w:val="20"/>
          <w:szCs w:val="20"/>
        </w:rPr>
        <w:t>, III (2007), 42 (Sevir Chernetsov).</w:t>
      </w:r>
    </w:p>
  </w:footnote>
  <w:footnote w:id="34">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Bosc-Tiessǝ 2007, 250.</w:t>
      </w:r>
    </w:p>
  </w:footnote>
  <w:footnote w:id="35">
    <w:p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1942, 65. There is also an extremely interesting passage in the chronicle of Bäkaffa about Sinoda who composed a song for </w:t>
      </w:r>
      <w:r w:rsidRPr="004C5955">
        <w:rPr>
          <w:rFonts w:ascii="Times New Roman" w:hAnsi="Times New Roman" w:cs="Times New Roman"/>
          <w:i/>
        </w:rPr>
        <w:t xml:space="preserve">aṣe </w:t>
      </w:r>
      <w:r w:rsidRPr="004C5955">
        <w:rPr>
          <w:rFonts w:ascii="Times New Roman" w:hAnsi="Times New Roman" w:cs="Times New Roman"/>
        </w:rPr>
        <w:t xml:space="preserve">Iyasu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r w:rsidRPr="004C5955">
        <w:rPr>
          <w:rFonts w:ascii="Times New Roman" w:eastAsia="Ethiopic Unicode" w:hAnsi="Times New Roman" w:cs="Times New Roman"/>
          <w:i/>
        </w:rPr>
        <w:t xml:space="preserve">ḥaṣe </w:t>
      </w:r>
      <w:r w:rsidRPr="004C5955">
        <w:rPr>
          <w:rFonts w:ascii="Times New Roman" w:eastAsia="Ethiopic Unicode" w:hAnsi="Times New Roman" w:cs="Times New Roman"/>
        </w:rPr>
        <w:t xml:space="preserve">Iyasu the new martyr. However God rests his soul in the burst of Abraham, Yǝsḥaq and </w:t>
      </w:r>
      <w:r w:rsidRPr="00C21B7E">
        <w:rPr>
          <w:rFonts w:ascii="Times New Roman" w:eastAsia="Ethiopic Unicode" w:hAnsi="Times New Roman" w:cs="Times New Roman"/>
          <w:shd w:val="clear" w:color="auto" w:fill="FFFF00"/>
        </w:rPr>
        <w:t>Ya’ǝqob</w:t>
      </w:r>
      <w:r w:rsidRPr="004C5955">
        <w:rPr>
          <w:rFonts w:ascii="Times New Roman" w:eastAsia="Ethiopic Unicode" w:hAnsi="Times New Roman" w:cs="Times New Roman"/>
        </w:rPr>
        <w:t xml:space="preserve">). </w:t>
      </w:r>
      <w:r w:rsidRPr="004C5955">
        <w:rPr>
          <w:rFonts w:ascii="Times New Roman" w:hAnsi="Times New Roman" w:cs="Times New Roman"/>
        </w:rPr>
        <w:t>Guidi 1903, 283.</w:t>
      </w:r>
    </w:p>
  </w:footnote>
  <w:footnote w:id="36">
    <w:p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r w:rsidRPr="0048164E">
        <w:rPr>
          <w:rFonts w:ascii="Times New Roman" w:hAnsi="Times New Roman" w:cs="Times New Roman"/>
          <w:sz w:val="20"/>
          <w:szCs w:val="20"/>
        </w:rPr>
        <w:t xml:space="preserve">Gondarine court and royal chronicler. He wrote the chronicle of </w:t>
      </w:r>
      <w:r w:rsidRPr="0048164E">
        <w:rPr>
          <w:rFonts w:ascii="Times New Roman" w:hAnsi="Times New Roman" w:cs="Times New Roman"/>
          <w:i/>
          <w:sz w:val="20"/>
          <w:szCs w:val="20"/>
        </w:rPr>
        <w:t xml:space="preserve">aṣe   </w:t>
      </w:r>
      <w:r w:rsidRPr="0048164E">
        <w:rPr>
          <w:rFonts w:ascii="Times New Roman" w:hAnsi="Times New Roman" w:cs="Times New Roman"/>
          <w:sz w:val="20"/>
          <w:szCs w:val="20"/>
        </w:rPr>
        <w:t>Iyasu I until his death. Guidi 1903, 84.</w:t>
      </w:r>
      <w:r w:rsidRPr="00903C21">
        <w:rPr>
          <w:rFonts w:ascii="Times New Roman" w:hAnsi="Times New Roman" w:cs="Times New Roman"/>
          <w:sz w:val="20"/>
          <w:szCs w:val="20"/>
        </w:rPr>
        <w:t xml:space="preserve"> </w:t>
      </w:r>
    </w:p>
  </w:footnote>
  <w:footnote w:id="37">
    <w:p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903C21">
        <w:rPr>
          <w:rStyle w:val="FootnoteReference"/>
          <w:rFonts w:ascii="Times New Roman" w:hAnsi="Times New Roman" w:cs="Times New Roman"/>
          <w:sz w:val="20"/>
          <w:szCs w:val="20"/>
        </w:rPr>
        <w:footnoteRef/>
      </w:r>
      <w:r w:rsidRPr="00903C21">
        <w:rPr>
          <w:rFonts w:ascii="Times New Roman" w:eastAsia="Ethiopic Unicode" w:hAnsi="Times New Roman" w:cs="Times New Roman"/>
          <w:sz w:val="20"/>
          <w:szCs w:val="20"/>
          <w:lang w:val="fr-FR"/>
        </w:rPr>
        <w:t xml:space="preserve">d’Abbadie1859, 17; </w:t>
      </w:r>
      <w:r w:rsidRPr="00903C21">
        <w:rPr>
          <w:rFonts w:ascii="Times New Roman" w:hAnsi="Times New Roman" w:cs="Times New Roman"/>
          <w:sz w:val="20"/>
          <w:szCs w:val="20"/>
        </w:rPr>
        <w:t>Dillmann 1848, 81.</w:t>
      </w:r>
    </w:p>
  </w:footnote>
  <w:footnote w:id="38">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Conti Rossini 1942, 95. </w:t>
      </w:r>
    </w:p>
  </w:footnote>
  <w:footnote w:id="39">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Gǝʿǝz</w:t>
      </w:r>
      <w:r w:rsidRPr="00313A09" w:rsidDel="00EA2F5F">
        <w:rPr>
          <w:rFonts w:ascii="Times New Roman" w:hAnsi="Times New Roman" w:cs="Times New Roman"/>
          <w:b/>
        </w:rPr>
        <w:t xml:space="preserve"> </w:t>
      </w:r>
      <w:r w:rsidRPr="00313A09">
        <w:rPr>
          <w:rFonts w:ascii="Times New Roman" w:hAnsi="Times New Roman" w:cs="Times New Roman"/>
        </w:rPr>
        <w:t xml:space="preserve"> and Amharic </w:t>
      </w:r>
      <w:r w:rsidRPr="003009E7">
        <w:rPr>
          <w:rFonts w:ascii="Times New Roman" w:hAnsi="Times New Roman" w:cs="Times New Roman"/>
          <w:shd w:val="clear" w:color="auto" w:fill="FFFF00"/>
        </w:rPr>
        <w:t>Manuscripts</w:t>
      </w:r>
      <w:r w:rsidRPr="00313A09">
        <w:rPr>
          <w:rFonts w:ascii="Times New Roman" w:hAnsi="Times New Roman" w:cs="Times New Roman"/>
        </w:rPr>
        <w:t xml:space="preserve"> Grèbaut 1941</w:t>
      </w:r>
      <w:r w:rsidR="003009E7">
        <w:rPr>
          <w:rFonts w:ascii="Times New Roman" w:hAnsi="Times New Roman" w:cs="Times New Roman"/>
        </w:rPr>
        <w:t xml:space="preserve">. </w:t>
      </w:r>
    </w:p>
  </w:footnote>
  <w:footnote w:id="40">
    <w:p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 The script of this period is the most elegant. The characters are evenly shaped and clear. This is the script of the luxury manuscripts of the Gondarine period. Uhlig 1990, 15.</w:t>
      </w:r>
    </w:p>
  </w:footnote>
  <w:footnote w:id="41">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Getatchew Haile 1981, 75. </w:t>
      </w:r>
    </w:p>
  </w:footnote>
  <w:footnote w:id="42">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Lusini 2005, 91-106.</w:t>
      </w:r>
    </w:p>
  </w:footnote>
  <w:footnote w:id="43">
    <w:p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Krippendorff 1980, 6.</w:t>
      </w:r>
      <w:r w:rsidRPr="009A54DB">
        <w:rPr>
          <w:rFonts w:ascii="Times New Roman" w:hAnsi="Times New Roman" w:cs="Times New Roman"/>
        </w:rPr>
        <w:t xml:space="preserve"> </w:t>
      </w:r>
    </w:p>
  </w:footnote>
  <w:footnote w:id="44">
    <w:p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Gumbrecht 2003, 5; Elliott 1956, 158.</w:t>
      </w:r>
    </w:p>
  </w:footnote>
  <w:footnote w:id="45">
    <w:p w:rsidR="00C21B7E" w:rsidRPr="00313A09" w:rsidRDefault="00C21B7E" w:rsidP="00AF0F9D">
      <w:pPr>
        <w:pStyle w:val="FootnoteText"/>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Kwon 2016, 12.</w:t>
      </w:r>
    </w:p>
  </w:footnote>
  <w:footnote w:id="47">
    <w:p w:rsidR="00C21B7E" w:rsidRPr="006D4844" w:rsidRDefault="00C21B7E"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Ronald 1972, 46.</w:t>
      </w:r>
    </w:p>
  </w:footnote>
  <w:footnote w:id="48">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89, 91. </w:t>
      </w:r>
    </w:p>
  </w:footnote>
  <w:footnote w:id="49">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82. 86. </w:t>
      </w:r>
    </w:p>
  </w:footnote>
  <w:footnote w:id="50">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75, 83.</w:t>
      </w:r>
    </w:p>
  </w:footnote>
  <w:footnote w:id="51">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Conti Rossini 1942, 72, 82.</w:t>
      </w:r>
    </w:p>
  </w:footnote>
  <w:footnote w:id="52">
    <w:p w:rsidR="00C21B7E" w:rsidRDefault="00C21B7E" w:rsidP="00AF0F9D">
      <w:pPr>
        <w:pStyle w:val="FootnoteText"/>
      </w:pPr>
      <w:r w:rsidRPr="00C67004">
        <w:rPr>
          <w:rStyle w:val="FootnoteReference"/>
          <w:rFonts w:cs="Times New Roman"/>
        </w:rPr>
        <w:footnoteRef/>
      </w:r>
      <w:r w:rsidRPr="00C67004">
        <w:rPr>
          <w:rFonts w:ascii="Times New Roman" w:hAnsi="Times New Roman" w:cs="Times New Roman"/>
        </w:rPr>
        <w:t xml:space="preserve"> Conti Rossini 1942, 68, 85, 91.</w:t>
      </w:r>
    </w:p>
  </w:footnote>
  <w:footnote w:id="53">
    <w:p w:rsidR="00C21B7E" w:rsidRPr="0035448C" w:rsidRDefault="00C21B7E"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r>
        <w:rPr>
          <w:rFonts w:ascii="Times New Roman" w:hAnsi="Times New Roman" w:cs="Times New Roman"/>
          <w:i/>
        </w:rPr>
        <w:t xml:space="preserve">aṣe </w:t>
      </w:r>
      <w:r w:rsidRPr="002B5FF0">
        <w:rPr>
          <w:rFonts w:ascii="Times New Roman" w:hAnsi="Times New Roman" w:cs="Times New Roman"/>
        </w:rPr>
        <w:t>Tewdros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r>
        <w:rPr>
          <w:rFonts w:ascii="Times New Roman" w:hAnsi="Times New Roman" w:cs="Times New Roman"/>
          <w:i/>
          <w:iCs/>
          <w:color w:val="000000"/>
        </w:rPr>
        <w:t xml:space="preserve">EAe, </w:t>
      </w:r>
      <w:r>
        <w:rPr>
          <w:rFonts w:ascii="Times New Roman" w:hAnsi="Times New Roman" w:cs="Times New Roman"/>
          <w:iCs/>
          <w:color w:val="000000"/>
        </w:rPr>
        <w:t>IV (2010), 930a-936a, esp. 930 (Donald Crummey- Denis Nosnitsin- Evgenia Sokolinskia).</w:t>
      </w:r>
    </w:p>
  </w:footnote>
  <w:footnote w:id="54">
    <w:p w:rsidR="00C21B7E" w:rsidRPr="009D1DC1" w:rsidRDefault="00C21B7E" w:rsidP="00AF0F9D">
      <w:pPr>
        <w:pStyle w:val="FootnoteText"/>
        <w:rPr>
          <w:rFonts w:ascii="Times New Roman" w:hAnsi="Times New Roman" w:cs="Times New Roman"/>
        </w:rPr>
      </w:pPr>
      <w:r w:rsidRPr="009D1DC1">
        <w:rPr>
          <w:rStyle w:val="FootnoteReference"/>
          <w:rFonts w:cs="Times New Roman"/>
        </w:rPr>
        <w:footnoteRef/>
      </w:r>
      <w:r w:rsidRPr="009D1DC1">
        <w:rPr>
          <w:rFonts w:ascii="Times New Roman" w:hAnsi="Times New Roman" w:cs="Times New Roman"/>
        </w:rPr>
        <w:t xml:space="preserve"> Getie Gelaye 2009, 1353. </w:t>
      </w:r>
    </w:p>
  </w:footnote>
  <w:footnote w:id="55">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6">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7">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8">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59">
    <w:p w:rsidR="00C21B7E" w:rsidRDefault="00C21B7E" w:rsidP="00AF0F9D">
      <w:pPr>
        <w:pStyle w:val="FootnoteText"/>
      </w:pPr>
      <w:r w:rsidRPr="00C31D62">
        <w:rPr>
          <w:rStyle w:val="FootnoteReference"/>
          <w:rFonts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0">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59, 62.</w:t>
      </w:r>
    </w:p>
  </w:footnote>
  <w:footnote w:id="61">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w:t>
      </w:r>
    </w:p>
  </w:footnote>
  <w:footnote w:id="62">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76, 62, 129.</w:t>
      </w:r>
    </w:p>
  </w:footnote>
  <w:footnote w:id="63">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130.</w:t>
      </w:r>
    </w:p>
  </w:footnote>
  <w:footnote w:id="64">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Guidi 1903, 77,</w:t>
      </w:r>
    </w:p>
  </w:footnote>
  <w:footnote w:id="65">
    <w:p w:rsidR="00C21B7E" w:rsidRDefault="00C21B7E" w:rsidP="00AF0F9D">
      <w:pPr>
        <w:pStyle w:val="FootnoteText"/>
      </w:pPr>
      <w:r w:rsidRPr="009E7233">
        <w:rPr>
          <w:rStyle w:val="FootnoteReference"/>
          <w:rFonts w:cs="Times New Roman"/>
        </w:rPr>
        <w:footnoteRef/>
      </w:r>
      <w:r w:rsidRPr="009E7233">
        <w:rPr>
          <w:rFonts w:ascii="Times New Roman" w:hAnsi="Times New Roman" w:cs="Times New Roman"/>
        </w:rPr>
        <w:t xml:space="preserve"> Guidi 1903, 77, 130.</w:t>
      </w:r>
    </w:p>
  </w:footnote>
  <w:footnote w:id="66">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130, 161.</w:t>
      </w:r>
    </w:p>
  </w:footnote>
  <w:footnote w:id="67">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116. 161.</w:t>
      </w:r>
    </w:p>
  </w:footnote>
  <w:footnote w:id="68">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w:t>
      </w:r>
    </w:p>
  </w:footnote>
  <w:footnote w:id="69">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Guidi 1903, 137, 183.</w:t>
      </w:r>
    </w:p>
  </w:footnote>
  <w:footnote w:id="70">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4164E7">
        <w:rPr>
          <w:rFonts w:ascii="Times New Roman" w:hAnsi="Times New Roman" w:cs="Times New Roman"/>
          <w:shd w:val="clear" w:color="auto" w:fill="92D050"/>
        </w:rPr>
        <w:t>Throne names connoted a different, secular emphasis, utilizing hyperbole to create impressions of the awe men felt towards Solomonic King s or the domination they claimed over other peoples or monarchs. From the 16</w:t>
      </w:r>
      <w:r w:rsidRPr="004164E7">
        <w:rPr>
          <w:rFonts w:ascii="Times New Roman" w:hAnsi="Times New Roman" w:cs="Times New Roman"/>
          <w:shd w:val="clear" w:color="auto" w:fill="92D050"/>
          <w:vertAlign w:val="superscript"/>
        </w:rPr>
        <w:t>th</w:t>
      </w:r>
      <w:r w:rsidRPr="004164E7">
        <w:rPr>
          <w:rFonts w:ascii="Times New Roman" w:hAnsi="Times New Roman" w:cs="Times New Roman"/>
          <w:shd w:val="clear" w:color="auto" w:fill="92D050"/>
        </w:rPr>
        <w:t xml:space="preserve"> cent. on, throne names were all constructed from the Gǝʿǝz root Sägäd   (‘he bowed, prostrated himself, submitted’). The throne names of Gonderian King s literally rendered as: ’Aläm Sägäd  (‘the world submitted’) , A’ǝlaf Sägäd (‘thousands submitted’), Adyam Sägäd  (‘the confines of the earth submitted’), LǝŸul Sägäd  (‘the exalted submitted’), Asrar Sägäd  (‘the enemies submitted’), Ṩähay Sägäd  (‘the sun bowed’), Adbar Sägäd  (‘the mountains bowed’), Mesihe Sägäd  (‘the anointed submitted’). Berry 1976, 155. As we see, a certain tradition can be traced in the choice of royal names.</w:t>
      </w:r>
    </w:p>
  </w:footnote>
  <w:footnote w:id="71">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68, 74, 83.</w:t>
      </w:r>
    </w:p>
  </w:footnote>
  <w:footnote w:id="72">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89, 90, 94, 95. </w:t>
      </w:r>
    </w:p>
  </w:footnote>
  <w:footnote w:id="73">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1942,94.</w:t>
      </w:r>
    </w:p>
  </w:footnote>
  <w:footnote w:id="74">
    <w:p w:rsidR="00C21B7E" w:rsidRPr="00241BBE" w:rsidRDefault="00C21B7E" w:rsidP="00AF0F9D">
      <w:pPr>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Leslau 1991, 423.</w:t>
      </w:r>
    </w:p>
  </w:footnote>
  <w:footnote w:id="7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‘Saints, Christian’, EAe, IV (2010), 476b, 480a, esp. 479a (Denis Nosnitsin).</w:t>
      </w:r>
    </w:p>
  </w:footnote>
  <w:footnote w:id="76">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Gǝʿǝz text of Conti Rossini 1942, 54.</w:t>
      </w:r>
    </w:p>
  </w:footnote>
  <w:footnote w:id="77">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54.</w:t>
      </w:r>
    </w:p>
  </w:footnote>
  <w:footnote w:id="78">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Leslau 1991, 501. </w:t>
      </w:r>
    </w:p>
  </w:footnote>
  <w:footnote w:id="79">
    <w:p w:rsidR="00C21B7E" w:rsidRPr="004C5955" w:rsidRDefault="00C21B7E" w:rsidP="00AF0F9D">
      <w:pPr>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r w:rsidRPr="009C47C9">
        <w:rPr>
          <w:rFonts w:ascii="Times New Roman" w:hAnsi="Times New Roman" w:cs="Times New Roman"/>
          <w:sz w:val="20"/>
          <w:szCs w:val="20"/>
          <w:shd w:val="clear" w:color="auto" w:fill="FFFF00"/>
        </w:rPr>
        <w:t>Marrassini 2012, 392.</w:t>
      </w:r>
    </w:p>
  </w:footnote>
  <w:footnote w:id="80">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Täklä Haymanot, against the King ’s will. </w:t>
      </w:r>
    </w:p>
  </w:footnote>
  <w:footnote w:id="81">
    <w:p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r w:rsidRPr="004C5955">
        <w:rPr>
          <w:rFonts w:ascii="Times New Roman" w:hAnsi="Times New Roman" w:cs="Times New Roman"/>
          <w:i/>
          <w:sz w:val="20"/>
          <w:szCs w:val="20"/>
        </w:rPr>
        <w:t>Sǝnkǝssar</w:t>
      </w:r>
      <w:r w:rsidRPr="004C5955">
        <w:rPr>
          <w:rFonts w:ascii="Times New Roman" w:hAnsi="Times New Roman" w:cs="Times New Roman"/>
          <w:sz w:val="20"/>
          <w:szCs w:val="20"/>
        </w:rPr>
        <w:t xml:space="preserve"> entry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 Cp. MS London, British Library, Or. 660, Wright 1877 (no. 233), folio 2r. The full text of </w:t>
      </w:r>
      <w:r w:rsidRPr="004C5955">
        <w:rPr>
          <w:rFonts w:ascii="Times New Roman" w:hAnsi="Times New Roman" w:cs="Times New Roman"/>
          <w:i/>
          <w:sz w:val="20"/>
          <w:szCs w:val="20"/>
        </w:rPr>
        <w:t xml:space="preserve">aṣe </w:t>
      </w:r>
      <w:r w:rsidRPr="004C5955">
        <w:rPr>
          <w:rFonts w:ascii="Times New Roman" w:hAnsi="Times New Roman" w:cs="Times New Roman"/>
          <w:sz w:val="20"/>
          <w:szCs w:val="20"/>
        </w:rPr>
        <w:t xml:space="preserve">Iyasu I’s </w:t>
      </w:r>
      <w:r w:rsidRPr="004C5955">
        <w:rPr>
          <w:rFonts w:ascii="Times New Roman" w:hAnsi="Times New Roman" w:cs="Times New Roman"/>
          <w:i/>
          <w:sz w:val="20"/>
          <w:szCs w:val="20"/>
        </w:rPr>
        <w:t xml:space="preserve">Sǝnkǝssar </w:t>
      </w:r>
      <w:r w:rsidRPr="004C5955">
        <w:rPr>
          <w:rFonts w:ascii="Times New Roman" w:hAnsi="Times New Roman" w:cs="Times New Roman"/>
          <w:sz w:val="20"/>
          <w:szCs w:val="20"/>
        </w:rPr>
        <w:t>entry is attached in Appendix one as raw data at the back of the thesis for reference.</w:t>
      </w:r>
    </w:p>
  </w:footnote>
  <w:footnote w:id="82">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Leslau 1991, 363.</w:t>
      </w:r>
    </w:p>
  </w:footnote>
  <w:footnote w:id="83">
    <w:p w:rsidR="00C21B7E" w:rsidRPr="00C303D3" w:rsidRDefault="00C21B7E" w:rsidP="00AF0F9D">
      <w:pPr>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Pankhurst 1987, 28. </w:t>
      </w:r>
    </w:p>
  </w:footnote>
  <w:footnote w:id="84">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C21B7E" w:rsidRPr="001E4040"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74.</w:t>
      </w:r>
      <w:r w:rsidRPr="0074456B">
        <w:rPr>
          <w:rFonts w:ascii="Times New Roman" w:hAnsi="Times New Roman" w:cs="Times New Roman"/>
        </w:rPr>
        <w:t xml:space="preserve"> </w:t>
      </w:r>
    </w:p>
  </w:footnote>
  <w:footnote w:id="87">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67, 68, 95.</w:t>
      </w:r>
    </w:p>
  </w:footnote>
  <w:footnote w:id="88">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92.</w:t>
      </w:r>
    </w:p>
  </w:footnote>
  <w:footnote w:id="89">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1942,67, 68, 87, 90.</w:t>
      </w:r>
    </w:p>
  </w:footnote>
  <w:footnote w:id="90">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87.</w:t>
      </w:r>
    </w:p>
  </w:footnote>
  <w:footnote w:id="91">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 88.</w:t>
      </w:r>
    </w:p>
  </w:footnote>
  <w:footnote w:id="92">
    <w:p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r w:rsidRPr="00C303D3">
        <w:rPr>
          <w:rFonts w:ascii="Times New Roman" w:hAnsi="Times New Roman" w:cs="Times New Roman"/>
          <w:i/>
          <w:color w:val="000000"/>
          <w:sz w:val="20"/>
          <w:szCs w:val="20"/>
        </w:rPr>
        <w:t xml:space="preserve">Kəbrä nägäśt </w:t>
      </w:r>
      <w:r w:rsidRPr="00C303D3">
        <w:rPr>
          <w:rFonts w:ascii="Times New Roman" w:hAnsi="Times New Roman" w:cs="Times New Roman"/>
          <w:color w:val="000000"/>
          <w:sz w:val="20"/>
          <w:szCs w:val="20"/>
        </w:rPr>
        <w:t xml:space="preserve">presents Kaleb as an ideal King -monk, stating that: ‘…God shall accept him gladly, for he shall not defile his body after he hath </w:t>
      </w:r>
      <w:r w:rsidRPr="004C5955">
        <w:rPr>
          <w:rFonts w:ascii="Times New Roman" w:hAnsi="Times New Roman" w:cs="Times New Roman"/>
          <w:sz w:val="20"/>
          <w:szCs w:val="20"/>
        </w:rPr>
        <w:t xml:space="preserve">returned, but he shall go into a monastery in purity of heart. And he shall make King his youngest son, whose name is </w:t>
      </w:r>
      <w:r w:rsidRPr="005F6C3F">
        <w:rPr>
          <w:rFonts w:ascii="Times New Roman" w:hAnsi="Times New Roman" w:cs="Times New Roman"/>
          <w:sz w:val="20"/>
          <w:szCs w:val="20"/>
          <w:shd w:val="clear" w:color="auto" w:fill="FFFF00"/>
        </w:rPr>
        <w:t>Gäbrä Mäsqäl</w:t>
      </w:r>
      <w:r w:rsidRPr="004C5955">
        <w:rPr>
          <w:rFonts w:ascii="Times New Roman" w:hAnsi="Times New Roman" w:cs="Times New Roman"/>
          <w:sz w:val="20"/>
          <w:szCs w:val="20"/>
        </w:rPr>
        <w:t>, and he himself shall shut himself up [in a monastery].</w:t>
      </w:r>
      <w:r w:rsidR="005F6C3F" w:rsidRPr="004C5955">
        <w:rPr>
          <w:rFonts w:ascii="Times New Roman" w:hAnsi="Times New Roman" w:cs="Times New Roman"/>
          <w:sz w:val="20"/>
          <w:szCs w:val="20"/>
        </w:rPr>
        <w:t>’</w:t>
      </w:r>
      <w:r w:rsidRPr="004C5955">
        <w:rPr>
          <w:rFonts w:ascii="Times New Roman" w:hAnsi="Times New Roman" w:cs="Times New Roman"/>
          <w:sz w:val="20"/>
          <w:szCs w:val="20"/>
        </w:rPr>
        <w:t xml:space="preserve"> In fact, the </w:t>
      </w:r>
      <w:r w:rsidRPr="005F6C3F">
        <w:rPr>
          <w:rFonts w:ascii="Times New Roman" w:hAnsi="Times New Roman" w:cs="Times New Roman"/>
          <w:sz w:val="20"/>
          <w:szCs w:val="20"/>
          <w:shd w:val="clear" w:color="auto" w:fill="FFFF00"/>
        </w:rPr>
        <w:t>Akumite</w:t>
      </w:r>
      <w:r w:rsidRPr="004C5955">
        <w:rPr>
          <w:rFonts w:ascii="Times New Roman" w:hAnsi="Times New Roman" w:cs="Times New Roman"/>
          <w:sz w:val="20"/>
          <w:szCs w:val="20"/>
        </w:rPr>
        <w:t xml:space="preserve"> Emperor obtains the title of monk-King due to his major role in restoring the Ethiopian King dom to its ancient limits as they were established by Mǝnilǝk. See: Budge 1932, 198.</w:t>
      </w:r>
    </w:p>
  </w:footnote>
  <w:footnote w:id="93">
    <w:p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r w:rsidRPr="004C5955">
        <w:rPr>
          <w:rFonts w:ascii="Times New Roman" w:hAnsi="Times New Roman" w:cs="Times New Roman"/>
          <w:i/>
        </w:rPr>
        <w:t xml:space="preserve">Sǝnkǝssar </w:t>
      </w:r>
      <w:r w:rsidRPr="004C5955">
        <w:rPr>
          <w:rFonts w:ascii="Times New Roman" w:hAnsi="Times New Roman" w:cs="Times New Roman"/>
        </w:rPr>
        <w:t xml:space="preserve">reading also acknowledge of his martyrdom. This is clearly evident in the following excerpts of the </w:t>
      </w:r>
      <w:r w:rsidRPr="004C5955">
        <w:rPr>
          <w:rFonts w:ascii="Times New Roman" w:hAnsi="Times New Roman" w:cs="Times New Roman"/>
          <w:i/>
        </w:rPr>
        <w:t>Sǝnkǝssar</w:t>
      </w:r>
      <w:r w:rsidRPr="004C5955">
        <w:rPr>
          <w:rFonts w:ascii="Times New Roman" w:hAnsi="Times New Roman" w:cs="Times New Roman"/>
        </w:rPr>
        <w:t xml:space="preserve">: </w:t>
      </w:r>
      <w:r w:rsidRPr="004C5955">
        <w:rPr>
          <w:rFonts w:ascii="Nyala" w:eastAsia="Ethiopic Unicode" w:hAnsi="Nyala" w:cs="Nyala"/>
        </w:rPr>
        <w:t>አመ፡</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r w:rsidRPr="004C5955">
        <w:rPr>
          <w:rFonts w:ascii="Nyala" w:eastAsia="Ethiopic Unicode" w:hAnsi="Nyala" w:cs="Nyala"/>
        </w:rPr>
        <w:t>በዛቲ፡</w:t>
      </w:r>
      <w:r w:rsidRPr="004C5955">
        <w:rPr>
          <w:rFonts w:ascii="Times New Roman" w:eastAsia="Ethiopic Unicode" w:hAnsi="Times New Roman" w:cs="Times New Roman"/>
        </w:rPr>
        <w:t xml:space="preserve"> </w:t>
      </w:r>
      <w:r w:rsidRPr="004C5955">
        <w:rPr>
          <w:rFonts w:ascii="Nyala" w:eastAsia="Ethiopic Unicode" w:hAnsi="Nyala" w:cs="Nyala"/>
        </w:rPr>
        <w:t>ዕለት፡</w:t>
      </w:r>
      <w:r w:rsidRPr="004C5955">
        <w:rPr>
          <w:rFonts w:ascii="Times New Roman" w:eastAsia="Ethiopic Unicode" w:hAnsi="Times New Roman" w:cs="Times New Roman"/>
        </w:rPr>
        <w:t xml:space="preserve"> </w:t>
      </w:r>
      <w:r w:rsidRPr="004C5955">
        <w:rPr>
          <w:rFonts w:ascii="Nyala" w:eastAsia="Ethiopic Unicode" w:hAnsi="Nyala" w:cs="Nyala"/>
        </w:rPr>
        <w:t>አዕረፈ፡</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ንጉሥ፡</w:t>
      </w:r>
      <w:r w:rsidRPr="004C5955">
        <w:rPr>
          <w:rFonts w:ascii="Times New Roman" w:eastAsia="Ethiopic Unicode" w:hAnsi="Times New Roman" w:cs="Times New Roman"/>
        </w:rPr>
        <w:t xml:space="preserve"> </w:t>
      </w:r>
      <w:r w:rsidRPr="004C5955">
        <w:rPr>
          <w:rFonts w:ascii="Nyala" w:eastAsia="Ethiopic Unicode" w:hAnsi="Nyala" w:cs="Nyala"/>
        </w:rPr>
        <w:t>ወሰማዕት፡</w:t>
      </w:r>
      <w:r w:rsidRPr="004C5955">
        <w:rPr>
          <w:rFonts w:ascii="Times New Roman" w:eastAsia="Ethiopic Unicode" w:hAnsi="Times New Roman" w:cs="Times New Roman"/>
        </w:rPr>
        <w:t xml:space="preserve"> </w:t>
      </w:r>
      <w:r w:rsidRPr="004C5955">
        <w:rPr>
          <w:rFonts w:ascii="Nyala" w:eastAsia="Ethiopic Unicode" w:hAnsi="Nyala" w:cs="Nyala"/>
        </w:rPr>
        <w:t>ተመሳሊሁ፡</w:t>
      </w:r>
      <w:r w:rsidRPr="004C5955">
        <w:rPr>
          <w:rFonts w:ascii="Times New Roman" w:eastAsia="Ethiopic Unicode" w:hAnsi="Times New Roman" w:cs="Times New Roman"/>
        </w:rPr>
        <w:t xml:space="preserve"> </w:t>
      </w:r>
      <w:r w:rsidRPr="004C5955">
        <w:rPr>
          <w:rFonts w:ascii="Nyala" w:eastAsia="Ethiopic Unicode" w:hAnsi="Nyala" w:cs="Nyala"/>
        </w:rPr>
        <w:t>ለአቤል፡</w:t>
      </w:r>
      <w:r w:rsidRPr="004C5955">
        <w:rPr>
          <w:rFonts w:ascii="Times New Roman" w:eastAsia="Ethiopic Unicode" w:hAnsi="Times New Roman" w:cs="Times New Roman"/>
        </w:rPr>
        <w:t xml:space="preserve"> </w:t>
      </w:r>
      <w:r w:rsidRPr="004C5955">
        <w:rPr>
          <w:rFonts w:ascii="Nyala" w:eastAsia="Ethiopic Unicode" w:hAnsi="Nyala" w:cs="Nyala"/>
        </w:rPr>
        <w:t>ዘተክዕወ፡</w:t>
      </w:r>
      <w:r w:rsidRPr="004C5955">
        <w:rPr>
          <w:rFonts w:ascii="Times New Roman" w:eastAsia="Ethiopic Unicode" w:hAnsi="Times New Roman" w:cs="Times New Roman"/>
        </w:rPr>
        <w:t xml:space="preserve"> </w:t>
      </w:r>
      <w:r w:rsidRPr="004C5955">
        <w:rPr>
          <w:rFonts w:ascii="Nyala" w:eastAsia="Ethiopic Unicode" w:hAnsi="Nyala" w:cs="Nyala"/>
        </w:rPr>
        <w:t>ደሙ፡</w:t>
      </w:r>
      <w:r w:rsidRPr="004C5955">
        <w:rPr>
          <w:rFonts w:ascii="Times New Roman" w:eastAsia="Ethiopic Unicode" w:hAnsi="Times New Roman" w:cs="Times New Roman"/>
        </w:rPr>
        <w:t xml:space="preserve"> </w:t>
      </w:r>
      <w:r w:rsidRPr="004C5955">
        <w:rPr>
          <w:rFonts w:ascii="Nyala" w:eastAsia="Ethiopic Unicode" w:hAnsi="Nyala" w:cs="Nyala"/>
        </w:rPr>
        <w:t>በዓመፃ፡</w:t>
      </w:r>
      <w:r w:rsidRPr="004C5955">
        <w:rPr>
          <w:rFonts w:ascii="Times New Roman" w:eastAsia="Ethiopic Unicode" w:hAnsi="Times New Roman" w:cs="Times New Roman"/>
        </w:rPr>
        <w:t xml:space="preserve"> </w:t>
      </w:r>
      <w:r w:rsidRPr="004C5955">
        <w:rPr>
          <w:rFonts w:ascii="Nyala" w:eastAsia="Ethiopic Unicode" w:hAnsi="Nyala" w:cs="Nyala"/>
        </w:rPr>
        <w:t>ለዝንቱ፡</w:t>
      </w:r>
      <w:r w:rsidRPr="004C5955">
        <w:rPr>
          <w:rFonts w:ascii="Times New Roman" w:eastAsia="Ethiopic Unicode" w:hAnsi="Times New Roman" w:cs="Times New Roman"/>
        </w:rPr>
        <w:t xml:space="preserve"> </w:t>
      </w:r>
      <w:r w:rsidRPr="004C5955">
        <w:rPr>
          <w:rFonts w:ascii="Nyala" w:eastAsia="Ethiopic Unicode" w:hAnsi="Nyala" w:cs="Nyala"/>
        </w:rPr>
        <w:t>ኢያሱ፡</w:t>
      </w:r>
      <w:r w:rsidRPr="004C5955">
        <w:rPr>
          <w:rFonts w:ascii="Times New Roman" w:eastAsia="Ethiopic Unicode" w:hAnsi="Times New Roman" w:cs="Times New Roman"/>
        </w:rPr>
        <w:t xml:space="preserve"> </w:t>
      </w:r>
      <w:r w:rsidRPr="004C5955">
        <w:rPr>
          <w:rFonts w:ascii="Nyala" w:eastAsia="Ethiopic Unicode" w:hAnsi="Nyala" w:cs="Nyala"/>
        </w:rPr>
        <w:t>ሰማዕት፡</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r w:rsidRPr="004C5955">
        <w:rPr>
          <w:rFonts w:ascii="Times New Roman" w:hAnsi="Times New Roman" w:cs="Times New Roman"/>
          <w:i/>
        </w:rPr>
        <w:t>Tǝqǝmt</w:t>
      </w:r>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Iyasu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660, Wright 1877 (no. 233), folio 2r. </w:t>
      </w:r>
    </w:p>
  </w:footnote>
  <w:footnote w:id="94">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5">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61.</w:t>
      </w:r>
    </w:p>
  </w:footnote>
  <w:footnote w:id="96">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Guidi 1905, 173.</w:t>
      </w:r>
    </w:p>
  </w:footnote>
  <w:footnote w:id="97">
    <w:p w:rsidR="00C21B7E" w:rsidRPr="00EA4B1A"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Leslau 1991, 303.</w:t>
      </w:r>
    </w:p>
  </w:footnote>
  <w:footnote w:id="98">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Guidi 1903, 61. </w:t>
      </w:r>
    </w:p>
  </w:footnote>
  <w:footnote w:id="99">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80.</w:t>
      </w:r>
    </w:p>
  </w:footnote>
  <w:footnote w:id="100">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127.</w:t>
      </w:r>
    </w:p>
  </w:footnote>
  <w:footnote w:id="101">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127.</w:t>
      </w:r>
    </w:p>
  </w:footnote>
  <w:footnote w:id="102">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Guidi 1905,</w:t>
      </w:r>
      <w:r w:rsidRPr="00422AAA">
        <w:rPr>
          <w:rFonts w:ascii="Times New Roman" w:hAnsi="Times New Roman" w:cs="Times New Roman"/>
          <w:i/>
        </w:rPr>
        <w:t>.</w:t>
      </w:r>
      <w:r w:rsidRPr="00CB3BF1">
        <w:rPr>
          <w:rFonts w:ascii="Times New Roman" w:hAnsi="Times New Roman" w:cs="Times New Roman"/>
        </w:rPr>
        <w:t xml:space="preserve"> 142.</w:t>
      </w:r>
    </w:p>
  </w:footnote>
  <w:footnote w:id="103">
    <w:p w:rsidR="00C21B7E" w:rsidRPr="00F958D7" w:rsidRDefault="00C21B7E" w:rsidP="00AF0F9D">
      <w:pPr>
        <w:pStyle w:val="FootnoteText"/>
        <w:rPr>
          <w:rFonts w:ascii="Nyala" w:hAnsi="Nyala"/>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4">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r w:rsidRPr="00B317FF">
        <w:rPr>
          <w:rFonts w:ascii="Times New Roman" w:hAnsi="Times New Roman" w:cs="Times New Roman"/>
        </w:rPr>
        <w:t xml:space="preserve">Guidi 1905, </w:t>
      </w:r>
      <w:r w:rsidRPr="00CB3BF1">
        <w:rPr>
          <w:rFonts w:ascii="Times New Roman" w:hAnsi="Times New Roman" w:cs="Times New Roman"/>
        </w:rPr>
        <w:t>152.</w:t>
      </w:r>
    </w:p>
  </w:footnote>
  <w:footnote w:id="105">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164, 252.</w:t>
      </w:r>
    </w:p>
  </w:footnote>
  <w:footnote w:id="106">
    <w:p w:rsidR="00C21B7E" w:rsidRDefault="00C21B7E" w:rsidP="00AF0F9D">
      <w:pPr>
        <w:pStyle w:val="FootnoteText"/>
      </w:pPr>
      <w:r w:rsidRPr="00CB3BF1">
        <w:rPr>
          <w:rStyle w:val="FootnoteReference"/>
          <w:rFonts w:cs="Times New Roman"/>
        </w:rPr>
        <w:footnoteRef/>
      </w:r>
      <w:r w:rsidRPr="00CB3BF1">
        <w:rPr>
          <w:rFonts w:ascii="Times New Roman" w:hAnsi="Times New Roman" w:cs="Times New Roman"/>
        </w:rPr>
        <w:t xml:space="preserve"> </w:t>
      </w:r>
      <w:r w:rsidRPr="00B317FF">
        <w:rPr>
          <w:rFonts w:ascii="Times New Roman" w:hAnsi="Times New Roman" w:cs="Times New Roman"/>
        </w:rPr>
        <w:t xml:space="preserve">Guidi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85CAD"/>
    <w:rsid w:val="002F2486"/>
    <w:rsid w:val="002F482D"/>
    <w:rsid w:val="002F4C10"/>
    <w:rsid w:val="003009E7"/>
    <w:rsid w:val="00313A09"/>
    <w:rsid w:val="003413EE"/>
    <w:rsid w:val="00346BAE"/>
    <w:rsid w:val="00352FD7"/>
    <w:rsid w:val="003836B7"/>
    <w:rsid w:val="00387915"/>
    <w:rsid w:val="0039354A"/>
    <w:rsid w:val="003C11E8"/>
    <w:rsid w:val="003E0B79"/>
    <w:rsid w:val="00401C46"/>
    <w:rsid w:val="004164E7"/>
    <w:rsid w:val="0044133A"/>
    <w:rsid w:val="0045063D"/>
    <w:rsid w:val="00477C93"/>
    <w:rsid w:val="0048164E"/>
    <w:rsid w:val="004875CC"/>
    <w:rsid w:val="004B05D6"/>
    <w:rsid w:val="004B462C"/>
    <w:rsid w:val="004C5955"/>
    <w:rsid w:val="00583E58"/>
    <w:rsid w:val="005C15F9"/>
    <w:rsid w:val="005C2F5B"/>
    <w:rsid w:val="005F6C3F"/>
    <w:rsid w:val="006068E6"/>
    <w:rsid w:val="00650716"/>
    <w:rsid w:val="00657A0A"/>
    <w:rsid w:val="00683EF2"/>
    <w:rsid w:val="00694CEE"/>
    <w:rsid w:val="00696575"/>
    <w:rsid w:val="006A3996"/>
    <w:rsid w:val="006D4C25"/>
    <w:rsid w:val="006E6079"/>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14F53"/>
    <w:rsid w:val="00A678CB"/>
    <w:rsid w:val="00A72338"/>
    <w:rsid w:val="00AF0F9D"/>
    <w:rsid w:val="00AF2819"/>
    <w:rsid w:val="00B75A81"/>
    <w:rsid w:val="00BD2F06"/>
    <w:rsid w:val="00BD4350"/>
    <w:rsid w:val="00BF536D"/>
    <w:rsid w:val="00C21B7E"/>
    <w:rsid w:val="00C303D3"/>
    <w:rsid w:val="00C507F1"/>
    <w:rsid w:val="00C8298B"/>
    <w:rsid w:val="00C87342"/>
    <w:rsid w:val="00CB4707"/>
    <w:rsid w:val="00CF1099"/>
    <w:rsid w:val="00D1158D"/>
    <w:rsid w:val="00D219FD"/>
    <w:rsid w:val="00D34C48"/>
    <w:rsid w:val="00D4134B"/>
    <w:rsid w:val="00DB2B3C"/>
    <w:rsid w:val="00DD78D6"/>
    <w:rsid w:val="00DE0260"/>
    <w:rsid w:val="00DF5FF5"/>
    <w:rsid w:val="00E51A9A"/>
    <w:rsid w:val="00E546A6"/>
    <w:rsid w:val="00E82C60"/>
    <w:rsid w:val="00EB2F80"/>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97358-0B5D-46C7-AF4E-273005DFB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7881</Words>
  <Characters>44923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2022-05-19T14:09:00Z</dcterms:created>
  <dcterms:modified xsi:type="dcterms:W3CDTF">2022-05-19T14:09:00Z</dcterms:modified>
</cp:coreProperties>
</file>