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CF0D" w14:textId="670FE86B" w:rsidR="001971D8" w:rsidRPr="00CE6128" w:rsidRDefault="00CE6128" w:rsidP="00CE6128">
      <w:pPr>
        <w:spacing w:after="0" w:line="360" w:lineRule="auto"/>
        <w:jc w:val="center"/>
        <w:rPr>
          <w:rFonts w:ascii="Times New Roman" w:eastAsia="Times New Roman" w:hAnsi="Times New Roman" w:cs="Times New Roman"/>
          <w:b/>
          <w:bCs/>
          <w:sz w:val="24"/>
          <w:szCs w:val="24"/>
        </w:rPr>
      </w:pPr>
      <w:r w:rsidRPr="00CE6128">
        <w:rPr>
          <w:rFonts w:ascii="Times New Roman" w:eastAsia="Times New Roman" w:hAnsi="Times New Roman" w:cs="Times New Roman"/>
          <w:b/>
          <w:bCs/>
          <w:sz w:val="24"/>
          <w:szCs w:val="24"/>
        </w:rPr>
        <w:t>RESPONSE TO REVIEWER’S COMMENTS</w:t>
      </w:r>
    </w:p>
    <w:tbl>
      <w:tblPr>
        <w:tblStyle w:val="TableGrid"/>
        <w:tblW w:w="0" w:type="auto"/>
        <w:tblLook w:val="04A0" w:firstRow="1" w:lastRow="0" w:firstColumn="1" w:lastColumn="0" w:noHBand="0" w:noVBand="1"/>
      </w:tblPr>
      <w:tblGrid>
        <w:gridCol w:w="7408"/>
        <w:gridCol w:w="6540"/>
      </w:tblGrid>
      <w:tr w:rsidR="001971D8" w14:paraId="08B888C6" w14:textId="77777777" w:rsidTr="00F06066">
        <w:trPr>
          <w:trHeight w:val="348"/>
        </w:trPr>
        <w:tc>
          <w:tcPr>
            <w:tcW w:w="0" w:type="auto"/>
          </w:tcPr>
          <w:p w14:paraId="2EBAC497" w14:textId="2BA9B386" w:rsidR="001971D8" w:rsidRPr="00F06066" w:rsidRDefault="00F06066" w:rsidP="00F0606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Comments </w:t>
            </w:r>
          </w:p>
        </w:tc>
        <w:tc>
          <w:tcPr>
            <w:tcW w:w="0" w:type="auto"/>
          </w:tcPr>
          <w:p w14:paraId="4E14A2DB" w14:textId="1150A6DE" w:rsidR="001971D8" w:rsidRDefault="00F06066"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Responses </w:t>
            </w:r>
          </w:p>
        </w:tc>
      </w:tr>
      <w:tr w:rsidR="00F06066" w14:paraId="3F473799" w14:textId="77777777" w:rsidTr="00F06066">
        <w:trPr>
          <w:trHeight w:val="7932"/>
        </w:trPr>
        <w:tc>
          <w:tcPr>
            <w:tcW w:w="0" w:type="auto"/>
          </w:tcPr>
          <w:p w14:paraId="726D8D58" w14:textId="5B99C4A2" w:rsidR="00F06066" w:rsidRPr="001971D8" w:rsidRDefault="00F06066" w:rsidP="001971D8">
            <w:pPr>
              <w:pStyle w:val="ListParagraph"/>
              <w:numPr>
                <w:ilvl w:val="0"/>
                <w:numId w:val="4"/>
              </w:numPr>
              <w:spacing w:line="360" w:lineRule="auto"/>
              <w:jc w:val="both"/>
              <w:rPr>
                <w:rFonts w:ascii="Times New Roman" w:eastAsia="Times New Roman" w:hAnsi="Times New Roman" w:cs="Times New Roman"/>
                <w:sz w:val="24"/>
                <w:szCs w:val="24"/>
                <w:lang w:eastAsia="en-GB"/>
              </w:rPr>
            </w:pPr>
            <w:r w:rsidRPr="00F06066">
              <w:rPr>
                <w:rFonts w:ascii="Times New Roman" w:eastAsia="Times New Roman" w:hAnsi="Times New Roman" w:cs="Times New Roman"/>
                <w:sz w:val="24"/>
                <w:szCs w:val="24"/>
                <w:lang w:eastAsia="en-GB"/>
              </w:rPr>
              <w:t>The introduction effectively situates the study within the Ghanaian</w:t>
            </w:r>
            <w:r w:rsidRPr="001971D8">
              <w:rPr>
                <w:rFonts w:ascii="Times New Roman" w:eastAsia="Times New Roman" w:hAnsi="Times New Roman" w:cs="Times New Roman"/>
                <w:sz w:val="24"/>
                <w:szCs w:val="24"/>
                <w:lang w:eastAsia="en-GB"/>
              </w:rPr>
              <w:t xml:space="preserve"> socio-political context by emphasizing the role of political commentary in the media and referencing Kwesi Yankah’s contributions. It further notes that numerous linguistic studies have explored political and social discourses in Ghana, citing examples from pragmatic (Gyasi, 2023), conversational (Addy &amp; Ofori, 2020), rhetorical (Ofosu &amp; </w:t>
            </w:r>
            <w:proofErr w:type="spellStart"/>
            <w:r w:rsidRPr="001971D8">
              <w:rPr>
                <w:rFonts w:ascii="Times New Roman" w:eastAsia="Times New Roman" w:hAnsi="Times New Roman" w:cs="Times New Roman"/>
                <w:sz w:val="24"/>
                <w:szCs w:val="24"/>
                <w:lang w:eastAsia="en-GB"/>
              </w:rPr>
              <w:t>Washew</w:t>
            </w:r>
            <w:proofErr w:type="spellEnd"/>
            <w:r w:rsidRPr="001971D8">
              <w:rPr>
                <w:rFonts w:ascii="Times New Roman" w:eastAsia="Times New Roman" w:hAnsi="Times New Roman" w:cs="Times New Roman"/>
                <w:sz w:val="24"/>
                <w:szCs w:val="24"/>
                <w:lang w:eastAsia="en-GB"/>
              </w:rPr>
              <w:t>, 2024), and stylistic (</w:t>
            </w:r>
            <w:proofErr w:type="spellStart"/>
            <w:r w:rsidRPr="001971D8">
              <w:rPr>
                <w:rFonts w:ascii="Times New Roman" w:eastAsia="Times New Roman" w:hAnsi="Times New Roman" w:cs="Times New Roman"/>
                <w:sz w:val="24"/>
                <w:szCs w:val="24"/>
                <w:lang w:eastAsia="en-GB"/>
              </w:rPr>
              <w:t>Mpotsiah</w:t>
            </w:r>
            <w:proofErr w:type="spellEnd"/>
            <w:r w:rsidRPr="001971D8">
              <w:rPr>
                <w:rFonts w:ascii="Times New Roman" w:eastAsia="Times New Roman" w:hAnsi="Times New Roman" w:cs="Times New Roman"/>
                <w:sz w:val="24"/>
                <w:szCs w:val="24"/>
                <w:lang w:eastAsia="en-GB"/>
              </w:rPr>
              <w:t xml:space="preserve"> et al., 2021) perspectives. However, this discussion might be considered somewhat brief and descriptive, as it does not provide sufficient details about the focus, findings, or relevance of these studies. Simply listing works without synthesising them may make it difficult to fully situate the present study within the broader scholarly landscape. It could therefore be helpful if the author considered expanding the review of prior literature within the introduction or perhaps creating a separate section titled “Related Studies.” Such a section might go beyond enumerating sources and instead offer a synthesised discussion that demonstrates how the current research aligns with, builds on, or differs from existing scholarship.  </w:t>
            </w:r>
          </w:p>
        </w:tc>
        <w:tc>
          <w:tcPr>
            <w:tcW w:w="0" w:type="auto"/>
          </w:tcPr>
          <w:p w14:paraId="0197C11D" w14:textId="5E1E5DE0" w:rsidR="00F06066" w:rsidRPr="001971D8" w:rsidRDefault="00F06066" w:rsidP="001971D8">
            <w:pPr>
              <w:spacing w:line="360" w:lineRule="auto"/>
              <w:jc w:val="both"/>
              <w:rPr>
                <w:rFonts w:ascii="Times New Roman" w:eastAsia="Times New Roman" w:hAnsi="Times New Roman" w:cs="Times New Roman"/>
                <w:b/>
                <w:bCs/>
                <w:sz w:val="24"/>
                <w:szCs w:val="24"/>
              </w:rPr>
            </w:pPr>
            <w:r w:rsidRPr="001971D8">
              <w:rPr>
                <w:rFonts w:ascii="Times New Roman" w:eastAsia="Times New Roman" w:hAnsi="Times New Roman" w:cs="Times New Roman"/>
                <w:b/>
                <w:bCs/>
                <w:sz w:val="24"/>
                <w:szCs w:val="24"/>
              </w:rPr>
              <w:t xml:space="preserve"> </w:t>
            </w:r>
            <w:r w:rsidRPr="001971D8">
              <w:rPr>
                <w:rFonts w:ascii="Times New Roman" w:eastAsia="Times New Roman" w:hAnsi="Times New Roman" w:cs="Times New Roman"/>
                <w:b/>
                <w:bCs/>
                <w:sz w:val="24"/>
                <w:szCs w:val="24"/>
              </w:rPr>
              <w:t>A section has been opened to discuss literature on the</w:t>
            </w:r>
            <w:r>
              <w:rPr>
                <w:rFonts w:ascii="Times New Roman" w:eastAsia="Times New Roman" w:hAnsi="Times New Roman" w:cs="Times New Roman"/>
                <w:b/>
                <w:bCs/>
                <w:sz w:val="24"/>
                <w:szCs w:val="24"/>
              </w:rPr>
              <w:t xml:space="preserve"> </w:t>
            </w:r>
            <w:r w:rsidRPr="001971D8">
              <w:rPr>
                <w:rFonts w:ascii="Times New Roman" w:eastAsia="Times New Roman" w:hAnsi="Times New Roman" w:cs="Times New Roman"/>
                <w:b/>
                <w:bCs/>
                <w:sz w:val="24"/>
                <w:szCs w:val="24"/>
              </w:rPr>
              <w:t xml:space="preserve">linguistics of oral tradition in Ghanaian public discourse </w:t>
            </w:r>
          </w:p>
          <w:p w14:paraId="35D833E0" w14:textId="77777777" w:rsidR="00F06066" w:rsidRDefault="00F06066" w:rsidP="001971D8">
            <w:pPr>
              <w:spacing w:line="360" w:lineRule="auto"/>
              <w:jc w:val="both"/>
              <w:rPr>
                <w:rFonts w:ascii="Times New Roman" w:eastAsia="Times New Roman" w:hAnsi="Times New Roman" w:cs="Times New Roman"/>
                <w:sz w:val="24"/>
                <w:szCs w:val="24"/>
              </w:rPr>
            </w:pPr>
          </w:p>
          <w:p w14:paraId="424AF703" w14:textId="77777777" w:rsidR="00F06066" w:rsidRPr="00762872" w:rsidRDefault="00F06066" w:rsidP="001971D8">
            <w:pPr>
              <w:pStyle w:val="Heading2"/>
              <w:spacing w:before="0" w:after="0" w:line="360" w:lineRule="auto"/>
              <w:jc w:val="both"/>
              <w:rPr>
                <w:rFonts w:ascii="Times New Roman" w:eastAsia="Times New Roman" w:hAnsi="Times New Roman" w:cs="Times New Roman"/>
                <w:b/>
                <w:bCs/>
                <w:color w:val="000000" w:themeColor="text1"/>
                <w:sz w:val="24"/>
                <w:szCs w:val="24"/>
              </w:rPr>
            </w:pPr>
            <w:r w:rsidRPr="00762872">
              <w:rPr>
                <w:rFonts w:ascii="Times New Roman" w:eastAsia="Times New Roman" w:hAnsi="Times New Roman" w:cs="Times New Roman"/>
                <w:b/>
                <w:bCs/>
                <w:color w:val="000000" w:themeColor="text1"/>
                <w:sz w:val="24"/>
                <w:szCs w:val="24"/>
              </w:rPr>
              <w:t>The linguistic-oral tradition in Ghanaian public discourse</w:t>
            </w:r>
          </w:p>
          <w:p w14:paraId="50F2FCD7" w14:textId="77777777" w:rsidR="00F06066" w:rsidRPr="00762872" w:rsidRDefault="00F06066" w:rsidP="001971D8">
            <w:pPr>
              <w:spacing w:line="360" w:lineRule="auto"/>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Ghanaian public discourse has become a hybrid oral-literature space where indigenous repertoires such as proverbs, storytelling, drumming and proverbial idioms are continuously reworked within prints, broadcasts and digital media (Asamoah-Poku, 2024). Rather than looking at orality as a disappearing residue of tradition, contemporary studies such as Hendricks (2019) and Briggs (2020) emphasise its adaptability and strategic use in modern communicative arenas. Abdulai, Ibrahim</w:t>
            </w:r>
            <w:r>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 xml:space="preserve">and Anas (2023) and Ibrahim, Alhassan and </w:t>
            </w:r>
            <w:proofErr w:type="spellStart"/>
            <w:r w:rsidRPr="00762872">
              <w:rPr>
                <w:rFonts w:ascii="Times New Roman" w:eastAsia="Times New Roman" w:hAnsi="Times New Roman" w:cs="Times New Roman"/>
                <w:sz w:val="24"/>
                <w:szCs w:val="24"/>
              </w:rPr>
              <w:t>Diedong</w:t>
            </w:r>
            <w:proofErr w:type="spellEnd"/>
            <w:r w:rsidRPr="00762872">
              <w:rPr>
                <w:rFonts w:ascii="Times New Roman" w:eastAsia="Times New Roman" w:hAnsi="Times New Roman" w:cs="Times New Roman"/>
                <w:sz w:val="24"/>
                <w:szCs w:val="24"/>
              </w:rPr>
              <w:t xml:space="preserve"> (2023) show that drums, town criers and communal performances remain central to information circulation and norm enforcement in rural areas in Ghana, even alongside radio and social media. These studies argue that such systems are not merely cultural artifacts but sites where authority, legitimacy and collective memory are negotiated. This compels </w:t>
            </w:r>
            <w:r w:rsidRPr="00762872">
              <w:rPr>
                <w:rFonts w:ascii="Times New Roman" w:eastAsia="Times New Roman" w:hAnsi="Times New Roman" w:cs="Times New Roman"/>
                <w:sz w:val="24"/>
                <w:szCs w:val="24"/>
              </w:rPr>
              <w:lastRenderedPageBreak/>
              <w:t xml:space="preserve">linear narratives of modernisation and suggests that public discourse continues to be anchored in oral epistemologies. </w:t>
            </w:r>
          </w:p>
          <w:p w14:paraId="14DA9A47" w14:textId="77777777" w:rsidR="00F06066" w:rsidRPr="00762872" w:rsidRDefault="00F06066" w:rsidP="001971D8">
            <w:pPr>
              <w:spacing w:line="360" w:lineRule="auto"/>
              <w:ind w:firstLine="720"/>
              <w:jc w:val="both"/>
              <w:rPr>
                <w:rFonts w:ascii="Times New Roman" w:eastAsia="Times New Roman" w:hAnsi="Times New Roman" w:cs="Times New Roman"/>
                <w:sz w:val="24"/>
                <w:szCs w:val="24"/>
              </w:rPr>
            </w:pPr>
            <w:r w:rsidRPr="00762872">
              <w:rPr>
                <w:rFonts w:ascii="Times New Roman" w:eastAsia="Times New Roman" w:hAnsi="Times New Roman" w:cs="Times New Roman"/>
                <w:sz w:val="24"/>
                <w:szCs w:val="24"/>
              </w:rPr>
              <w:t>Parallel research on proverbs, storytelling and indigenous language use highlights how these resources influence the cognition, stance and ideology of the people (Quarshie &amp; Poku, 2025). According to Fosu et al. (2023), Akan proverbs, especially, demonstrate resilience and continuity in everyday communication as vehicles for moral reasoning and social critique, including environmental and socioeconomic issues. Similarly, Wiafe-</w:t>
            </w:r>
            <w:proofErr w:type="spellStart"/>
            <w:r w:rsidRPr="00762872">
              <w:rPr>
                <w:rFonts w:ascii="Times New Roman" w:eastAsia="Times New Roman" w:hAnsi="Times New Roman" w:cs="Times New Roman"/>
                <w:sz w:val="24"/>
                <w:szCs w:val="24"/>
              </w:rPr>
              <w:t>Akenten</w:t>
            </w:r>
            <w:proofErr w:type="spellEnd"/>
            <w:r w:rsidRPr="00762872">
              <w:rPr>
                <w:rFonts w:ascii="Times New Roman" w:eastAsia="Times New Roman" w:hAnsi="Times New Roman" w:cs="Times New Roman"/>
                <w:sz w:val="24"/>
                <w:szCs w:val="24"/>
              </w:rPr>
              <w:t xml:space="preserve"> (2021), in her analysis of contemporary Akan news broadcasts, espouses that journalists weave proverbs into news bulletins to soften face-threatening acts, encode evaluative positions</w:t>
            </w:r>
            <w:r>
              <w:rPr>
                <w:rFonts w:ascii="Times New Roman" w:eastAsia="Times New Roman" w:hAnsi="Times New Roman" w:cs="Times New Roman"/>
                <w:sz w:val="24"/>
                <w:szCs w:val="24"/>
              </w:rPr>
              <w:t xml:space="preserve"> </w:t>
            </w:r>
            <w:r w:rsidRPr="00762872">
              <w:rPr>
                <w:rFonts w:ascii="Times New Roman" w:eastAsia="Times New Roman" w:hAnsi="Times New Roman" w:cs="Times New Roman"/>
                <w:sz w:val="24"/>
                <w:szCs w:val="24"/>
              </w:rPr>
              <w:t>and invite audience alignment</w:t>
            </w:r>
            <w:r>
              <w:rPr>
                <w:rFonts w:ascii="Times New Roman" w:eastAsia="Times New Roman" w:hAnsi="Times New Roman" w:cs="Times New Roman"/>
                <w:sz w:val="24"/>
                <w:szCs w:val="24"/>
              </w:rPr>
              <w:t>. Wiafe-</w:t>
            </w:r>
            <w:proofErr w:type="spellStart"/>
            <w:r>
              <w:rPr>
                <w:rFonts w:ascii="Times New Roman" w:eastAsia="Times New Roman" w:hAnsi="Times New Roman" w:cs="Times New Roman"/>
                <w:sz w:val="24"/>
                <w:szCs w:val="24"/>
              </w:rPr>
              <w:t>Akenten</w:t>
            </w:r>
            <w:proofErr w:type="spellEnd"/>
            <w:r>
              <w:rPr>
                <w:rFonts w:ascii="Times New Roman" w:eastAsia="Times New Roman" w:hAnsi="Times New Roman" w:cs="Times New Roman"/>
                <w:sz w:val="24"/>
                <w:szCs w:val="24"/>
              </w:rPr>
              <w:t xml:space="preserve"> adds that this strategy </w:t>
            </w:r>
            <w:r w:rsidRPr="00762872">
              <w:rPr>
                <w:rFonts w:ascii="Times New Roman" w:eastAsia="Times New Roman" w:hAnsi="Times New Roman" w:cs="Times New Roman"/>
                <w:sz w:val="24"/>
                <w:szCs w:val="24"/>
              </w:rPr>
              <w:t>blur</w:t>
            </w:r>
            <w:r>
              <w:rPr>
                <w:rFonts w:ascii="Times New Roman" w:eastAsia="Times New Roman" w:hAnsi="Times New Roman" w:cs="Times New Roman"/>
                <w:sz w:val="24"/>
                <w:szCs w:val="24"/>
              </w:rPr>
              <w:t>s</w:t>
            </w:r>
            <w:r w:rsidRPr="00762872">
              <w:rPr>
                <w:rFonts w:ascii="Times New Roman" w:eastAsia="Times New Roman" w:hAnsi="Times New Roman" w:cs="Times New Roman"/>
                <w:sz w:val="24"/>
                <w:szCs w:val="24"/>
              </w:rPr>
              <w:t xml:space="preserve"> the boundaries between objective reporting and culturally saturated commentary. Wiafe-Akenten</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s (2021) findings corroborate with Osei-Tutu</w:t>
            </w:r>
            <w:r>
              <w:rPr>
                <w:rFonts w:ascii="Times New Roman" w:eastAsia="Times New Roman" w:hAnsi="Times New Roman" w:cs="Times New Roman"/>
                <w:sz w:val="24"/>
                <w:szCs w:val="24"/>
              </w:rPr>
              <w:t>’</w:t>
            </w:r>
            <w:r w:rsidRPr="00762872">
              <w:rPr>
                <w:rFonts w:ascii="Times New Roman" w:eastAsia="Times New Roman" w:hAnsi="Times New Roman" w:cs="Times New Roman"/>
                <w:sz w:val="24"/>
                <w:szCs w:val="24"/>
              </w:rPr>
              <w:t xml:space="preserve">s (2022) broader African work that foregrounds oral storytelling as a decolonial methodology which privileges rationality, community accountability and affects over strictly propositional argumentations.  </w:t>
            </w:r>
          </w:p>
          <w:p w14:paraId="6FD4517E" w14:textId="77777777" w:rsidR="00F06066" w:rsidRPr="001971D8" w:rsidRDefault="00F06066" w:rsidP="00CC7DE6">
            <w:pPr>
              <w:spacing w:line="360" w:lineRule="auto"/>
              <w:ind w:firstLine="720"/>
              <w:jc w:val="both"/>
              <w:rPr>
                <w:rFonts w:ascii="Times New Roman" w:eastAsia="Times New Roman" w:hAnsi="Times New Roman" w:cs="Times New Roman"/>
                <w:b/>
                <w:bCs/>
                <w:sz w:val="24"/>
                <w:szCs w:val="24"/>
              </w:rPr>
            </w:pPr>
            <w:r w:rsidRPr="00762872">
              <w:rPr>
                <w:rFonts w:ascii="Times New Roman" w:eastAsia="Times New Roman" w:hAnsi="Times New Roman" w:cs="Times New Roman"/>
                <w:sz w:val="24"/>
                <w:szCs w:val="24"/>
              </w:rPr>
              <w:lastRenderedPageBreak/>
              <w:t xml:space="preserve">The digital and mass-media environment has also entrenched these culturally loaded artifacts – they recontextualise them. Nweke et al. (2024) demonstrate that traditional Ghanaian storytelling formats are being re-embedded in radio talk shows and YouTube skits with narrators alternating between English and local languages to index authority and irony.  Additionally, Ajani et al. (2023) argue that digital media can revitalise indigenous knowledge systems by providing new platforms for circulating oral genres and amplifying marginalised voices. Yet, this optimistic view is tempered by work documenting how post-colonial language hierarchies still privilege English in mainstream media, constraining the visibility and perceived legitimacy of indigenous linguistic resources (Adom et al., 2024; </w:t>
            </w:r>
            <w:proofErr w:type="spellStart"/>
            <w:r w:rsidRPr="00762872">
              <w:rPr>
                <w:rFonts w:ascii="Times New Roman" w:eastAsia="Times New Roman" w:hAnsi="Times New Roman" w:cs="Times New Roman"/>
                <w:sz w:val="24"/>
                <w:szCs w:val="24"/>
              </w:rPr>
              <w:t>Dartey</w:t>
            </w:r>
            <w:proofErr w:type="spellEnd"/>
            <w:r w:rsidRPr="00762872">
              <w:rPr>
                <w:rFonts w:ascii="Times New Roman" w:eastAsia="Times New Roman" w:hAnsi="Times New Roman" w:cs="Times New Roman"/>
                <w:sz w:val="24"/>
                <w:szCs w:val="24"/>
              </w:rPr>
              <w:t>, 2025).</w:t>
            </w:r>
          </w:p>
        </w:tc>
      </w:tr>
      <w:tr w:rsidR="001971D8" w14:paraId="797B9FB7" w14:textId="77777777" w:rsidTr="00F06066">
        <w:tc>
          <w:tcPr>
            <w:tcW w:w="0" w:type="auto"/>
          </w:tcPr>
          <w:p w14:paraId="2A63C5E9" w14:textId="0F730BFB"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lastRenderedPageBreak/>
              <w:t>The author might consider adding research questions at the end of the introduction, as this could help clarify the focus of the study and provide readers with a clearer sense of its direction.</w:t>
            </w:r>
          </w:p>
        </w:tc>
        <w:tc>
          <w:tcPr>
            <w:tcW w:w="0" w:type="auto"/>
          </w:tcPr>
          <w:p w14:paraId="2F2957BC" w14:textId="77777777" w:rsidR="001971D8" w:rsidRDefault="001971D8" w:rsidP="001971D8">
            <w:pPr>
              <w:spacing w:line="360" w:lineRule="auto"/>
              <w:jc w:val="both"/>
              <w:rPr>
                <w:rFonts w:ascii="Times New Roman" w:eastAsia="Times New Roman" w:hAnsi="Times New Roman" w:cs="Times New Roman"/>
                <w:b/>
                <w:bCs/>
                <w:sz w:val="24"/>
                <w:szCs w:val="24"/>
              </w:rPr>
            </w:pPr>
            <w:r w:rsidRPr="001971D8">
              <w:rPr>
                <w:rFonts w:ascii="Times New Roman" w:eastAsia="Times New Roman" w:hAnsi="Times New Roman" w:cs="Times New Roman"/>
                <w:b/>
                <w:bCs/>
                <w:sz w:val="24"/>
                <w:szCs w:val="24"/>
              </w:rPr>
              <w:t>The following research questions have been added to the study</w:t>
            </w:r>
          </w:p>
          <w:p w14:paraId="035466FF" w14:textId="77777777" w:rsidR="00C72129" w:rsidRDefault="00C72129" w:rsidP="001971D8">
            <w:pPr>
              <w:spacing w:line="360" w:lineRule="auto"/>
              <w:jc w:val="both"/>
              <w:rPr>
                <w:rFonts w:ascii="Times New Roman" w:eastAsia="Times New Roman" w:hAnsi="Times New Roman" w:cs="Times New Roman"/>
                <w:b/>
                <w:bCs/>
                <w:sz w:val="24"/>
                <w:szCs w:val="24"/>
              </w:rPr>
            </w:pPr>
          </w:p>
          <w:p w14:paraId="15D33CFF" w14:textId="77777777" w:rsidR="00C72129" w:rsidRDefault="00C72129" w:rsidP="00C72129">
            <w:pPr>
              <w:pStyle w:val="ListParagraph"/>
              <w:numPr>
                <w:ilvl w:val="1"/>
                <w:numId w:val="5"/>
              </w:numPr>
              <w:tabs>
                <w:tab w:val="left" w:pos="1620"/>
              </w:tabs>
              <w:spacing w:line="360" w:lineRule="auto"/>
              <w:ind w:left="330" w:hanging="270"/>
              <w:jc w:val="both"/>
              <w:rPr>
                <w:rFonts w:ascii="Times New Roman" w:eastAsia="Times New Roman" w:hAnsi="Times New Roman" w:cs="Times New Roman"/>
                <w:sz w:val="24"/>
                <w:szCs w:val="24"/>
              </w:rPr>
            </w:pPr>
            <w:r w:rsidRPr="00C454AB">
              <w:rPr>
                <w:rFonts w:ascii="Times New Roman" w:eastAsia="Times New Roman" w:hAnsi="Times New Roman" w:cs="Times New Roman"/>
                <w:sz w:val="24"/>
                <w:szCs w:val="24"/>
              </w:rPr>
              <w:t xml:space="preserve">What linguistic features and rhetorical strategies characterise Professor Kwesi Yankah’s columns in addressing socio-political issues in Ghana? </w:t>
            </w:r>
          </w:p>
          <w:p w14:paraId="68ED601D" w14:textId="77777777" w:rsidR="00C72129" w:rsidRDefault="00C72129" w:rsidP="00C72129">
            <w:pPr>
              <w:pStyle w:val="ListParagraph"/>
              <w:tabs>
                <w:tab w:val="left" w:pos="1620"/>
              </w:tabs>
              <w:spacing w:line="360" w:lineRule="auto"/>
              <w:ind w:left="330"/>
              <w:jc w:val="both"/>
              <w:rPr>
                <w:rFonts w:ascii="Times New Roman" w:eastAsia="Times New Roman" w:hAnsi="Times New Roman" w:cs="Times New Roman"/>
                <w:sz w:val="24"/>
                <w:szCs w:val="24"/>
              </w:rPr>
            </w:pPr>
          </w:p>
          <w:p w14:paraId="50AC350A" w14:textId="06E59345" w:rsidR="00C72129" w:rsidRPr="00CC7DE6" w:rsidRDefault="00C72129" w:rsidP="001971D8">
            <w:pPr>
              <w:pStyle w:val="ListParagraph"/>
              <w:numPr>
                <w:ilvl w:val="1"/>
                <w:numId w:val="5"/>
              </w:numPr>
              <w:tabs>
                <w:tab w:val="left" w:pos="1620"/>
              </w:tabs>
              <w:spacing w:line="360" w:lineRule="auto"/>
              <w:ind w:left="330" w:hanging="270"/>
              <w:jc w:val="both"/>
              <w:rPr>
                <w:rFonts w:ascii="Times New Roman" w:eastAsia="Times New Roman" w:hAnsi="Times New Roman" w:cs="Times New Roman"/>
                <w:sz w:val="24"/>
                <w:szCs w:val="24"/>
              </w:rPr>
            </w:pPr>
            <w:r w:rsidRPr="00C72129">
              <w:rPr>
                <w:rFonts w:ascii="Times New Roman" w:eastAsia="Times New Roman" w:hAnsi="Times New Roman" w:cs="Times New Roman"/>
                <w:sz w:val="24"/>
                <w:szCs w:val="24"/>
              </w:rPr>
              <w:t xml:space="preserve">How do the discursive strategies employed in </w:t>
            </w:r>
            <w:proofErr w:type="spellStart"/>
            <w:r w:rsidRPr="00C72129">
              <w:rPr>
                <w:rFonts w:ascii="Times New Roman" w:eastAsia="Times New Roman" w:hAnsi="Times New Roman" w:cs="Times New Roman"/>
                <w:sz w:val="24"/>
                <w:szCs w:val="24"/>
              </w:rPr>
              <w:t>Yankah’s</w:t>
            </w:r>
            <w:proofErr w:type="spellEnd"/>
            <w:r w:rsidRPr="00C72129">
              <w:rPr>
                <w:rFonts w:ascii="Times New Roman" w:eastAsia="Times New Roman" w:hAnsi="Times New Roman" w:cs="Times New Roman"/>
                <w:sz w:val="24"/>
                <w:szCs w:val="24"/>
              </w:rPr>
              <w:t xml:space="preserve"> columns function to construct ideological meanings and critique power relations in Ghanaian society? </w:t>
            </w:r>
          </w:p>
        </w:tc>
      </w:tr>
      <w:tr w:rsidR="001971D8" w14:paraId="2ADEB629" w14:textId="77777777" w:rsidTr="00F06066">
        <w:tc>
          <w:tcPr>
            <w:tcW w:w="0" w:type="auto"/>
          </w:tcPr>
          <w:p w14:paraId="16AB1C94" w14:textId="4B9F45D8"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t xml:space="preserve">The author may consider checking the use of the ampersand in citations where “and” might be more appropriate, such as in “Eze &amp; </w:t>
            </w:r>
            <w:proofErr w:type="spellStart"/>
            <w:r w:rsidRPr="001971D8">
              <w:rPr>
                <w:rFonts w:ascii="Times New Roman" w:eastAsia="Times New Roman" w:hAnsi="Times New Roman" w:cs="Times New Roman"/>
                <w:sz w:val="24"/>
                <w:szCs w:val="24"/>
                <w:lang w:eastAsia="en-GB"/>
              </w:rPr>
              <w:t>Amoniyan</w:t>
            </w:r>
            <w:proofErr w:type="spellEnd"/>
            <w:r w:rsidRPr="001971D8">
              <w:rPr>
                <w:rFonts w:ascii="Times New Roman" w:eastAsia="Times New Roman" w:hAnsi="Times New Roman" w:cs="Times New Roman"/>
                <w:sz w:val="24"/>
                <w:szCs w:val="24"/>
                <w:lang w:eastAsia="en-GB"/>
              </w:rPr>
              <w:t xml:space="preserve"> (2022) opine…” and “According to Afful &amp; Mwinlaaru (</w:t>
            </w:r>
            <w:proofErr w:type="gramStart"/>
            <w:r w:rsidRPr="001971D8">
              <w:rPr>
                <w:rFonts w:ascii="Times New Roman" w:eastAsia="Times New Roman" w:hAnsi="Times New Roman" w:cs="Times New Roman"/>
                <w:sz w:val="24"/>
                <w:szCs w:val="24"/>
                <w:lang w:eastAsia="en-GB"/>
              </w:rPr>
              <w:t>2010)…</w:t>
            </w:r>
            <w:proofErr w:type="gramEnd"/>
            <w:r w:rsidRPr="001971D8">
              <w:rPr>
                <w:rFonts w:ascii="Times New Roman" w:eastAsia="Times New Roman" w:hAnsi="Times New Roman" w:cs="Times New Roman"/>
                <w:sz w:val="24"/>
                <w:szCs w:val="24"/>
                <w:lang w:eastAsia="en-GB"/>
              </w:rPr>
              <w:t>”, unless the journal’s style requirements specify otherwise.</w:t>
            </w:r>
          </w:p>
        </w:tc>
        <w:tc>
          <w:tcPr>
            <w:tcW w:w="0" w:type="auto"/>
          </w:tcPr>
          <w:p w14:paraId="3D741F3A" w14:textId="3BDA4F78" w:rsidR="001971D8" w:rsidRDefault="00CC7DE6"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ampersand is consistent in all </w:t>
            </w:r>
            <w:r w:rsidR="00F06066">
              <w:rPr>
                <w:rFonts w:ascii="Times New Roman" w:eastAsia="Times New Roman" w:hAnsi="Times New Roman" w:cs="Times New Roman"/>
                <w:sz w:val="24"/>
                <w:szCs w:val="24"/>
              </w:rPr>
              <w:t>non-integral</w:t>
            </w:r>
            <w:r>
              <w:rPr>
                <w:rFonts w:ascii="Times New Roman" w:eastAsia="Times New Roman" w:hAnsi="Times New Roman" w:cs="Times New Roman"/>
                <w:sz w:val="24"/>
                <w:szCs w:val="24"/>
              </w:rPr>
              <w:t xml:space="preserve"> in-text citations</w:t>
            </w:r>
            <w:r w:rsidR="00F0606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while </w:t>
            </w:r>
            <w:r w:rsidR="00F06066">
              <w:rPr>
                <w:rFonts w:ascii="Times New Roman" w:eastAsia="Times New Roman" w:hAnsi="Times New Roman" w:cs="Times New Roman"/>
                <w:sz w:val="24"/>
                <w:szCs w:val="24"/>
              </w:rPr>
              <w:t>‘</w:t>
            </w:r>
            <w:r>
              <w:rPr>
                <w:rFonts w:ascii="Times New Roman" w:eastAsia="Times New Roman" w:hAnsi="Times New Roman" w:cs="Times New Roman"/>
                <w:sz w:val="24"/>
                <w:szCs w:val="24"/>
              </w:rPr>
              <w:t>and</w:t>
            </w:r>
            <w:r w:rsidR="00F0606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 used for integral </w:t>
            </w:r>
            <w:r w:rsidR="00F06066">
              <w:rPr>
                <w:rFonts w:ascii="Times New Roman" w:eastAsia="Times New Roman" w:hAnsi="Times New Roman" w:cs="Times New Roman"/>
                <w:sz w:val="24"/>
                <w:szCs w:val="24"/>
              </w:rPr>
              <w:t>in-text citations. Again, the ampersand is used in all bibliographic referencing.</w:t>
            </w:r>
          </w:p>
        </w:tc>
      </w:tr>
      <w:tr w:rsidR="001971D8" w14:paraId="4AF0F8E0" w14:textId="77777777" w:rsidTr="00F06066">
        <w:tc>
          <w:tcPr>
            <w:tcW w:w="0" w:type="auto"/>
          </w:tcPr>
          <w:p w14:paraId="3CFEFE50" w14:textId="637021CE"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t xml:space="preserve">The author could provide the code for </w:t>
            </w:r>
            <w:r w:rsidRPr="001971D8">
              <w:rPr>
                <w:rFonts w:ascii="Times New Roman" w:eastAsia="Times New Roman" w:hAnsi="Times New Roman" w:cs="Times New Roman"/>
                <w:i/>
                <w:iCs/>
                <w:sz w:val="24"/>
                <w:szCs w:val="24"/>
                <w:lang w:eastAsia="en-GB"/>
              </w:rPr>
              <w:t>Extract 2</w:t>
            </w:r>
            <w:r w:rsidRPr="001971D8">
              <w:rPr>
                <w:rFonts w:ascii="Times New Roman" w:eastAsia="Times New Roman" w:hAnsi="Times New Roman" w:cs="Times New Roman"/>
                <w:sz w:val="24"/>
                <w:szCs w:val="24"/>
                <w:lang w:eastAsia="en-GB"/>
              </w:rPr>
              <w:t xml:space="preserve"> to show which discursive strategy or theme it represents in the analysis. Additionally, the author(s) might consider reviewing the use of the terms “extract” and “excerpt” and </w:t>
            </w:r>
            <w:r w:rsidR="00F06066">
              <w:rPr>
                <w:rFonts w:ascii="Times New Roman" w:eastAsia="Times New Roman" w:hAnsi="Times New Roman" w:cs="Times New Roman"/>
                <w:sz w:val="24"/>
                <w:szCs w:val="24"/>
                <w:lang w:eastAsia="en-GB"/>
              </w:rPr>
              <w:t>ensuring</w:t>
            </w:r>
            <w:r w:rsidRPr="001971D8">
              <w:rPr>
                <w:rFonts w:ascii="Times New Roman" w:eastAsia="Times New Roman" w:hAnsi="Times New Roman" w:cs="Times New Roman"/>
                <w:sz w:val="24"/>
                <w:szCs w:val="24"/>
                <w:lang w:eastAsia="en-GB"/>
              </w:rPr>
              <w:t xml:space="preserve"> consistency by selecting one term and applying it throughout the paper.</w:t>
            </w:r>
          </w:p>
        </w:tc>
        <w:tc>
          <w:tcPr>
            <w:tcW w:w="0" w:type="auto"/>
          </w:tcPr>
          <w:p w14:paraId="3017961C" w14:textId="77777777" w:rsidR="001971D8" w:rsidRPr="001971D8" w:rsidRDefault="001971D8" w:rsidP="001971D8">
            <w:pPr>
              <w:spacing w:line="360" w:lineRule="auto"/>
              <w:jc w:val="both"/>
              <w:rPr>
                <w:rFonts w:ascii="Times New Roman" w:eastAsia="Times New Roman" w:hAnsi="Times New Roman" w:cs="Times New Roman"/>
                <w:b/>
                <w:bCs/>
                <w:sz w:val="24"/>
                <w:szCs w:val="24"/>
              </w:rPr>
            </w:pPr>
            <w:r w:rsidRPr="001971D8">
              <w:rPr>
                <w:rFonts w:ascii="Times New Roman" w:eastAsia="Times New Roman" w:hAnsi="Times New Roman" w:cs="Times New Roman"/>
                <w:b/>
                <w:bCs/>
                <w:sz w:val="24"/>
                <w:szCs w:val="24"/>
              </w:rPr>
              <w:t xml:space="preserve">Code for extract 2 has been provided. </w:t>
            </w:r>
          </w:p>
          <w:p w14:paraId="0DB10D9F" w14:textId="77777777" w:rsidR="001971D8" w:rsidRDefault="001971D8" w:rsidP="001971D8">
            <w:pPr>
              <w:spacing w:line="360" w:lineRule="auto"/>
              <w:jc w:val="both"/>
              <w:rPr>
                <w:rFonts w:ascii="Times New Roman" w:eastAsia="Times New Roman" w:hAnsi="Times New Roman" w:cs="Times New Roman"/>
                <w:sz w:val="24"/>
                <w:szCs w:val="24"/>
              </w:rPr>
            </w:pPr>
          </w:p>
          <w:p w14:paraId="01A1B8F9" w14:textId="77777777" w:rsidR="001971D8" w:rsidRDefault="001971D8"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(KYC 05)</w:t>
            </w:r>
          </w:p>
          <w:p w14:paraId="5E0F4C74" w14:textId="77777777" w:rsidR="001971D8" w:rsidRDefault="001971D8" w:rsidP="001971D8">
            <w:pPr>
              <w:spacing w:line="360" w:lineRule="auto"/>
              <w:jc w:val="both"/>
              <w:rPr>
                <w:rFonts w:ascii="Times New Roman" w:eastAsia="Times New Roman" w:hAnsi="Times New Roman" w:cs="Times New Roman"/>
                <w:sz w:val="24"/>
                <w:szCs w:val="24"/>
              </w:rPr>
            </w:pPr>
          </w:p>
          <w:p w14:paraId="1D6F1E7A" w14:textId="240043A1" w:rsidR="001971D8" w:rsidRDefault="00CE6128"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sidR="00F06066">
              <w:rPr>
                <w:rFonts w:ascii="Times New Roman" w:eastAsia="Times New Roman" w:hAnsi="Times New Roman" w:cs="Times New Roman"/>
                <w:sz w:val="24"/>
                <w:szCs w:val="24"/>
              </w:rPr>
              <w:t>reference</w:t>
            </w:r>
            <w:r>
              <w:rPr>
                <w:rFonts w:ascii="Times New Roman" w:eastAsia="Times New Roman" w:hAnsi="Times New Roman" w:cs="Times New Roman"/>
                <w:sz w:val="24"/>
                <w:szCs w:val="24"/>
              </w:rPr>
              <w:t xml:space="preserve"> data have been labelled as “extracts” for consistency. </w:t>
            </w:r>
          </w:p>
        </w:tc>
      </w:tr>
      <w:tr w:rsidR="001971D8" w14:paraId="203D830A" w14:textId="77777777" w:rsidTr="00F06066">
        <w:tc>
          <w:tcPr>
            <w:tcW w:w="0" w:type="auto"/>
          </w:tcPr>
          <w:p w14:paraId="198878F4" w14:textId="21C8ADE4" w:rsidR="001971D8" w:rsidRPr="00CE612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CE6128">
              <w:rPr>
                <w:rFonts w:ascii="Times New Roman" w:eastAsia="Times New Roman" w:hAnsi="Times New Roman" w:cs="Times New Roman"/>
                <w:sz w:val="24"/>
                <w:szCs w:val="24"/>
                <w:lang w:eastAsia="en-GB"/>
              </w:rPr>
              <w:t xml:space="preserve">The Data and Method section is clear in explaining the qualitative approach, dataset, and analytical framework, and the coding system </w:t>
            </w:r>
            <w:r w:rsidRPr="00CE6128">
              <w:rPr>
                <w:rFonts w:ascii="Times New Roman" w:eastAsia="Times New Roman" w:hAnsi="Times New Roman" w:cs="Times New Roman"/>
                <w:sz w:val="24"/>
                <w:szCs w:val="24"/>
                <w:lang w:eastAsia="en-GB"/>
              </w:rPr>
              <w:lastRenderedPageBreak/>
              <w:t>(KYC) is well described. However, this section could also include details on the data collection procedure. While the dataset and selection criteria are described, it might not be entirely clear how the commentaries were accessed, downloaded, and organized for analysis. For example, the author(s) might specify whether the texts were manually retrieved or extracted using a digital tool, the time frame within which the data were collected, and any steps taken to ensure completeness and accuracy of the dataset. Including these details may make the methodology more robust and replicable.</w:t>
            </w:r>
          </w:p>
        </w:tc>
        <w:tc>
          <w:tcPr>
            <w:tcW w:w="0" w:type="auto"/>
          </w:tcPr>
          <w:p w14:paraId="55E9AE09" w14:textId="77777777" w:rsidR="001971D8" w:rsidRPr="00CE6128" w:rsidRDefault="00CE6128" w:rsidP="001971D8">
            <w:pPr>
              <w:spacing w:line="360" w:lineRule="auto"/>
              <w:jc w:val="both"/>
              <w:rPr>
                <w:rFonts w:ascii="Times New Roman" w:eastAsia="Times New Roman" w:hAnsi="Times New Roman" w:cs="Times New Roman"/>
                <w:b/>
                <w:bCs/>
                <w:sz w:val="24"/>
                <w:szCs w:val="24"/>
              </w:rPr>
            </w:pPr>
            <w:r w:rsidRPr="00CE6128">
              <w:rPr>
                <w:rFonts w:ascii="Times New Roman" w:eastAsia="Times New Roman" w:hAnsi="Times New Roman" w:cs="Times New Roman"/>
                <w:b/>
                <w:bCs/>
                <w:sz w:val="24"/>
                <w:szCs w:val="24"/>
              </w:rPr>
              <w:lastRenderedPageBreak/>
              <w:t xml:space="preserve">The mode of data collection has been added to the methods section. </w:t>
            </w:r>
          </w:p>
          <w:p w14:paraId="57D7BC0A" w14:textId="77777777" w:rsidR="00CE6128" w:rsidRDefault="00CE6128" w:rsidP="001971D8">
            <w:pPr>
              <w:spacing w:line="360" w:lineRule="auto"/>
              <w:jc w:val="both"/>
              <w:rPr>
                <w:rFonts w:ascii="Times New Roman" w:eastAsia="Times New Roman" w:hAnsi="Times New Roman" w:cs="Times New Roman"/>
                <w:sz w:val="24"/>
                <w:szCs w:val="24"/>
              </w:rPr>
            </w:pPr>
          </w:p>
          <w:p w14:paraId="7A05784C" w14:textId="77777777" w:rsidR="00CE6128" w:rsidRDefault="00CE6128" w:rsidP="001971D8">
            <w:pPr>
              <w:spacing w:line="360" w:lineRule="auto"/>
              <w:jc w:val="both"/>
              <w:rPr>
                <w:rFonts w:ascii="Times New Roman" w:eastAsia="Times New Roman" w:hAnsi="Times New Roman" w:cs="Times New Roman"/>
                <w:sz w:val="24"/>
                <w:szCs w:val="24"/>
              </w:rPr>
            </w:pPr>
          </w:p>
          <w:p w14:paraId="71C84A71" w14:textId="77578E9B" w:rsidR="00CE6128" w:rsidRPr="00CE6128" w:rsidRDefault="00CE6128" w:rsidP="001971D8">
            <w:pPr>
              <w:spacing w:line="360" w:lineRule="auto"/>
              <w:jc w:val="both"/>
              <w:rPr>
                <w:rFonts w:ascii="Times New Roman" w:eastAsia="Times New Roman" w:hAnsi="Times New Roman" w:cs="Times New Roman"/>
                <w:b/>
                <w:bCs/>
                <w:sz w:val="24"/>
                <w:szCs w:val="24"/>
              </w:rPr>
            </w:pPr>
            <w:bookmarkStart w:id="0" w:name="_Hlk219460809"/>
            <w:r>
              <w:rPr>
                <w:rFonts w:ascii="Times New Roman" w:eastAsia="Times New Roman" w:hAnsi="Times New Roman" w:cs="Times New Roman"/>
                <w:sz w:val="24"/>
                <w:szCs w:val="24"/>
                <w:lang w:eastAsia="en-GB"/>
              </w:rPr>
              <w:t>The data was manually copied from the official website of the Daily Graphic and cleaned of all advertisements, pictures</w:t>
            </w:r>
            <w:r w:rsidR="00F06066">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and extraneous materials that were not part of the content of the columns. The data was then stored as a plain text file</w:t>
            </w:r>
            <w:r w:rsidR="00F06066">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which was further fed into </w:t>
            </w:r>
            <w:r w:rsidR="00F06066">
              <w:rPr>
                <w:rFonts w:ascii="Times New Roman" w:eastAsia="Times New Roman" w:hAnsi="Times New Roman" w:cs="Times New Roman"/>
                <w:sz w:val="24"/>
                <w:szCs w:val="24"/>
                <w:lang w:eastAsia="en-GB"/>
              </w:rPr>
              <w:t xml:space="preserve">the </w:t>
            </w:r>
            <w:r>
              <w:rPr>
                <w:rFonts w:ascii="Times New Roman" w:eastAsia="Times New Roman" w:hAnsi="Times New Roman" w:cs="Times New Roman"/>
                <w:sz w:val="24"/>
                <w:szCs w:val="24"/>
                <w:lang w:eastAsia="en-GB"/>
              </w:rPr>
              <w:t>Sketch Engine software for data processing</w:t>
            </w:r>
            <w:r w:rsidR="00F06066">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which </w:t>
            </w:r>
            <w:r w:rsidR="00F06066">
              <w:rPr>
                <w:rFonts w:ascii="Times New Roman" w:eastAsia="Times New Roman" w:hAnsi="Times New Roman" w:cs="Times New Roman"/>
                <w:sz w:val="24"/>
                <w:szCs w:val="24"/>
                <w:lang w:eastAsia="en-GB"/>
              </w:rPr>
              <w:t>includes</w:t>
            </w:r>
            <w:r>
              <w:rPr>
                <w:rFonts w:ascii="Times New Roman" w:eastAsia="Times New Roman" w:hAnsi="Times New Roman" w:cs="Times New Roman"/>
                <w:sz w:val="24"/>
                <w:szCs w:val="24"/>
                <w:lang w:eastAsia="en-GB"/>
              </w:rPr>
              <w:t xml:space="preserve"> word count and lexical density of the respective columns. </w:t>
            </w:r>
            <w:bookmarkEnd w:id="0"/>
          </w:p>
          <w:p w14:paraId="2394D85F" w14:textId="747ED3B0" w:rsidR="00CE6128" w:rsidRDefault="00CE6128" w:rsidP="001971D8">
            <w:pPr>
              <w:spacing w:line="360" w:lineRule="auto"/>
              <w:jc w:val="both"/>
              <w:rPr>
                <w:rFonts w:ascii="Times New Roman" w:eastAsia="Times New Roman" w:hAnsi="Times New Roman" w:cs="Times New Roman"/>
                <w:sz w:val="24"/>
                <w:szCs w:val="24"/>
              </w:rPr>
            </w:pPr>
          </w:p>
        </w:tc>
      </w:tr>
      <w:tr w:rsidR="001971D8" w14:paraId="1F8FB618" w14:textId="77777777" w:rsidTr="00F06066">
        <w:tc>
          <w:tcPr>
            <w:tcW w:w="0" w:type="auto"/>
          </w:tcPr>
          <w:p w14:paraId="38431007" w14:textId="2AC3C757"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lastRenderedPageBreak/>
              <w:t xml:space="preserve">The Presentation of Findings section is well organised, with clear subheadings such as </w:t>
            </w:r>
            <w:r w:rsidRPr="001971D8">
              <w:rPr>
                <w:rFonts w:ascii="Times New Roman" w:eastAsia="Times New Roman" w:hAnsi="Times New Roman" w:cs="Times New Roman"/>
                <w:i/>
                <w:iCs/>
                <w:sz w:val="24"/>
                <w:szCs w:val="24"/>
                <w:lang w:eastAsia="en-GB"/>
              </w:rPr>
              <w:t>5.1 Linguistic Features and Rhetorical Strategies of the Columns</w:t>
            </w:r>
            <w:r w:rsidRPr="001971D8">
              <w:rPr>
                <w:rFonts w:ascii="Times New Roman" w:eastAsia="Times New Roman" w:hAnsi="Times New Roman" w:cs="Times New Roman"/>
                <w:sz w:val="24"/>
                <w:szCs w:val="24"/>
                <w:lang w:eastAsia="en-GB"/>
              </w:rPr>
              <w:t xml:space="preserve"> and </w:t>
            </w:r>
            <w:r w:rsidRPr="001971D8">
              <w:rPr>
                <w:rFonts w:ascii="Times New Roman" w:eastAsia="Times New Roman" w:hAnsi="Times New Roman" w:cs="Times New Roman"/>
                <w:i/>
                <w:iCs/>
                <w:sz w:val="24"/>
                <w:szCs w:val="24"/>
                <w:lang w:eastAsia="en-GB"/>
              </w:rPr>
              <w:t>5.2 Discursive Strategies</w:t>
            </w:r>
            <w:r w:rsidRPr="001971D8">
              <w:rPr>
                <w:rFonts w:ascii="Times New Roman" w:eastAsia="Times New Roman" w:hAnsi="Times New Roman" w:cs="Times New Roman"/>
                <w:sz w:val="24"/>
                <w:szCs w:val="24"/>
                <w:lang w:eastAsia="en-GB"/>
              </w:rPr>
              <w:t xml:space="preserve">, which makes the structure easy to follow. The findings provide valuable insights into </w:t>
            </w:r>
            <w:proofErr w:type="spellStart"/>
            <w:r w:rsidRPr="001971D8">
              <w:rPr>
                <w:rFonts w:ascii="Times New Roman" w:eastAsia="Times New Roman" w:hAnsi="Times New Roman" w:cs="Times New Roman"/>
                <w:sz w:val="24"/>
                <w:szCs w:val="24"/>
                <w:lang w:eastAsia="en-GB"/>
              </w:rPr>
              <w:t>Yankah’s</w:t>
            </w:r>
            <w:proofErr w:type="spellEnd"/>
            <w:r w:rsidRPr="001971D8">
              <w:rPr>
                <w:rFonts w:ascii="Times New Roman" w:eastAsia="Times New Roman" w:hAnsi="Times New Roman" w:cs="Times New Roman"/>
                <w:sz w:val="24"/>
                <w:szCs w:val="24"/>
                <w:lang w:eastAsia="en-GB"/>
              </w:rPr>
              <w:t xml:space="preserve"> unique linguistic choices and rhetorical techniques. However, in the analysis, the author(s) could consider relating the discussion to existing literature to show how the findings align with or differ from previous studies. This connection could also underscore how the examples presented reflect a broader pattern of </w:t>
            </w:r>
            <w:proofErr w:type="spellStart"/>
            <w:r w:rsidRPr="001971D8">
              <w:rPr>
                <w:rFonts w:ascii="Times New Roman" w:eastAsia="Times New Roman" w:hAnsi="Times New Roman" w:cs="Times New Roman"/>
                <w:sz w:val="24"/>
                <w:szCs w:val="24"/>
                <w:lang w:eastAsia="en-GB"/>
              </w:rPr>
              <w:t>Yankah’s</w:t>
            </w:r>
            <w:proofErr w:type="spellEnd"/>
            <w:r w:rsidRPr="001971D8">
              <w:rPr>
                <w:rFonts w:ascii="Times New Roman" w:eastAsia="Times New Roman" w:hAnsi="Times New Roman" w:cs="Times New Roman"/>
                <w:sz w:val="24"/>
                <w:szCs w:val="24"/>
                <w:lang w:eastAsia="en-GB"/>
              </w:rPr>
              <w:t xml:space="preserve"> discursive strategies, thematic diversity, and </w:t>
            </w:r>
            <w:r w:rsidRPr="001971D8">
              <w:rPr>
                <w:rFonts w:ascii="Times New Roman" w:eastAsia="Times New Roman" w:hAnsi="Times New Roman" w:cs="Times New Roman"/>
                <w:sz w:val="24"/>
                <w:szCs w:val="24"/>
                <w:lang w:eastAsia="en-GB"/>
              </w:rPr>
              <w:lastRenderedPageBreak/>
              <w:t>rhetorical styles, thereby strengthening the scholarly contribution of the study.</w:t>
            </w:r>
          </w:p>
        </w:tc>
        <w:tc>
          <w:tcPr>
            <w:tcW w:w="0" w:type="auto"/>
          </w:tcPr>
          <w:p w14:paraId="7FCABBB3" w14:textId="5C667F23" w:rsidR="001971D8" w:rsidRPr="00CC7DE6" w:rsidRDefault="00CC7DE6" w:rsidP="00144080">
            <w:pPr>
              <w:spacing w:line="360" w:lineRule="auto"/>
              <w:rPr>
                <w:rFonts w:ascii="Times New Roman" w:eastAsia="Times New Roman" w:hAnsi="Times New Roman" w:cs="Times New Roman"/>
                <w:b/>
                <w:bCs/>
                <w:sz w:val="24"/>
                <w:szCs w:val="24"/>
              </w:rPr>
            </w:pPr>
            <w:r w:rsidRPr="00CC7DE6">
              <w:rPr>
                <w:rFonts w:ascii="Times New Roman" w:eastAsia="Times New Roman" w:hAnsi="Times New Roman" w:cs="Times New Roman"/>
                <w:b/>
                <w:bCs/>
                <w:sz w:val="24"/>
                <w:szCs w:val="24"/>
              </w:rPr>
              <w:lastRenderedPageBreak/>
              <w:t xml:space="preserve"> </w:t>
            </w:r>
            <w:r w:rsidRPr="00144080">
              <w:rPr>
                <w:rFonts w:ascii="Times New Roman" w:eastAsia="Times New Roman" w:hAnsi="Times New Roman" w:cs="Times New Roman"/>
                <w:sz w:val="24"/>
                <w:szCs w:val="24"/>
              </w:rPr>
              <w:t xml:space="preserve">Some discussions have been provided to situate the analysis in existing literature to demonstrate that </w:t>
            </w:r>
            <w:proofErr w:type="spellStart"/>
            <w:r w:rsidRPr="00144080">
              <w:rPr>
                <w:rFonts w:ascii="Times New Roman" w:eastAsia="Times New Roman" w:hAnsi="Times New Roman" w:cs="Times New Roman"/>
                <w:sz w:val="24"/>
                <w:szCs w:val="24"/>
              </w:rPr>
              <w:t>Yankah’s</w:t>
            </w:r>
            <w:proofErr w:type="spellEnd"/>
            <w:r w:rsidRPr="00144080">
              <w:rPr>
                <w:rFonts w:ascii="Times New Roman" w:eastAsia="Times New Roman" w:hAnsi="Times New Roman" w:cs="Times New Roman"/>
                <w:sz w:val="24"/>
                <w:szCs w:val="24"/>
              </w:rPr>
              <w:t xml:space="preserve"> discursive strategies reflect broader patterns. Some discussions have also been provided to demonstrate how the analysis extends CDA in the Ghanaian context.</w:t>
            </w:r>
            <w:r w:rsidRPr="00CC7DE6">
              <w:rPr>
                <w:rFonts w:ascii="Times New Roman" w:eastAsia="Times New Roman" w:hAnsi="Times New Roman" w:cs="Times New Roman"/>
                <w:b/>
                <w:bCs/>
                <w:sz w:val="24"/>
                <w:szCs w:val="24"/>
              </w:rPr>
              <w:t xml:space="preserve"> </w:t>
            </w:r>
            <w:r w:rsidRPr="00CC7DE6">
              <w:rPr>
                <w:rFonts w:ascii="Times New Roman" w:eastAsia="Times New Roman" w:hAnsi="Times New Roman" w:cs="Times New Roman"/>
                <w:b/>
                <w:bCs/>
                <w:sz w:val="24"/>
                <w:szCs w:val="24"/>
              </w:rPr>
              <w:br/>
            </w:r>
            <w:r w:rsidRPr="00CC7DE6">
              <w:rPr>
                <w:rFonts w:ascii="Times New Roman" w:eastAsia="Times New Roman" w:hAnsi="Times New Roman" w:cs="Times New Roman"/>
                <w:b/>
                <w:bCs/>
                <w:sz w:val="24"/>
                <w:szCs w:val="24"/>
              </w:rPr>
              <w:br/>
            </w:r>
            <w:r w:rsidRPr="00CC7DE6">
              <w:rPr>
                <w:rFonts w:ascii="Times New Roman" w:eastAsia="Times New Roman" w:hAnsi="Times New Roman" w:cs="Times New Roman"/>
                <w:sz w:val="24"/>
                <w:szCs w:val="24"/>
              </w:rPr>
              <w:t>See pages 10-18</w:t>
            </w:r>
          </w:p>
        </w:tc>
      </w:tr>
      <w:tr w:rsidR="001971D8" w14:paraId="45B6D456" w14:textId="77777777" w:rsidTr="00F06066">
        <w:tc>
          <w:tcPr>
            <w:tcW w:w="0" w:type="auto"/>
          </w:tcPr>
          <w:p w14:paraId="0D4F5AD4" w14:textId="33C32155"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t>A minor revision could be to standardise spelling throughout the text, as it alternates between British (e.g., “victimisation”) and American (e.g., “victimization”) forms.</w:t>
            </w:r>
          </w:p>
        </w:tc>
        <w:tc>
          <w:tcPr>
            <w:tcW w:w="0" w:type="auto"/>
          </w:tcPr>
          <w:p w14:paraId="385C3DAC" w14:textId="2D198874" w:rsidR="001971D8" w:rsidRDefault="00CE6128"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sidR="00CC7DE6">
              <w:rPr>
                <w:rFonts w:ascii="Times New Roman" w:eastAsia="Times New Roman" w:hAnsi="Times New Roman" w:cs="Times New Roman"/>
                <w:sz w:val="24"/>
                <w:szCs w:val="24"/>
              </w:rPr>
              <w:t>spellings</w:t>
            </w:r>
            <w:r>
              <w:rPr>
                <w:rFonts w:ascii="Times New Roman" w:eastAsia="Times New Roman" w:hAnsi="Times New Roman" w:cs="Times New Roman"/>
                <w:sz w:val="24"/>
                <w:szCs w:val="24"/>
              </w:rPr>
              <w:t xml:space="preserve"> have been set to British</w:t>
            </w:r>
          </w:p>
        </w:tc>
      </w:tr>
      <w:tr w:rsidR="001971D8" w14:paraId="758ABC5F" w14:textId="77777777" w:rsidTr="00F06066">
        <w:tc>
          <w:tcPr>
            <w:tcW w:w="0" w:type="auto"/>
          </w:tcPr>
          <w:p w14:paraId="24F4D940" w14:textId="5FE293B7"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t xml:space="preserve">Another minor revision could be to ensure consistency in the </w:t>
            </w:r>
            <w:proofErr w:type="spellStart"/>
            <w:r w:rsidRPr="001971D8">
              <w:rPr>
                <w:rFonts w:ascii="Times New Roman" w:eastAsia="Times New Roman" w:hAnsi="Times New Roman" w:cs="Times New Roman"/>
                <w:sz w:val="24"/>
                <w:szCs w:val="24"/>
                <w:lang w:eastAsia="en-GB"/>
              </w:rPr>
              <w:t>labeling</w:t>
            </w:r>
            <w:proofErr w:type="spellEnd"/>
            <w:r w:rsidRPr="001971D8">
              <w:rPr>
                <w:rFonts w:ascii="Times New Roman" w:eastAsia="Times New Roman" w:hAnsi="Times New Roman" w:cs="Times New Roman"/>
                <w:sz w:val="24"/>
                <w:szCs w:val="24"/>
                <w:lang w:eastAsia="en-GB"/>
              </w:rPr>
              <w:t xml:space="preserve"> of tables and figures, as there seems to be a difference between </w:t>
            </w:r>
            <w:r w:rsidRPr="001971D8">
              <w:rPr>
                <w:rFonts w:ascii="Times New Roman" w:eastAsia="Times New Roman" w:hAnsi="Times New Roman" w:cs="Times New Roman"/>
                <w:i/>
                <w:iCs/>
                <w:sz w:val="24"/>
                <w:szCs w:val="24"/>
                <w:lang w:eastAsia="en-GB"/>
              </w:rPr>
              <w:t>Table 1</w:t>
            </w:r>
            <w:r w:rsidRPr="001971D8">
              <w:rPr>
                <w:rFonts w:ascii="Times New Roman" w:eastAsia="Times New Roman" w:hAnsi="Times New Roman" w:cs="Times New Roman"/>
                <w:sz w:val="24"/>
                <w:szCs w:val="24"/>
                <w:lang w:eastAsia="en-GB"/>
              </w:rPr>
              <w:t xml:space="preserve"> and </w:t>
            </w:r>
            <w:r w:rsidRPr="001971D8">
              <w:rPr>
                <w:rFonts w:ascii="Times New Roman" w:eastAsia="Times New Roman" w:hAnsi="Times New Roman" w:cs="Times New Roman"/>
                <w:i/>
                <w:iCs/>
                <w:sz w:val="24"/>
                <w:szCs w:val="24"/>
                <w:lang w:eastAsia="en-GB"/>
              </w:rPr>
              <w:t>Figure 2</w:t>
            </w:r>
            <w:r w:rsidRPr="001971D8">
              <w:rPr>
                <w:rFonts w:ascii="Times New Roman" w:eastAsia="Times New Roman" w:hAnsi="Times New Roman" w:cs="Times New Roman"/>
                <w:sz w:val="24"/>
                <w:szCs w:val="24"/>
                <w:lang w:eastAsia="en-GB"/>
              </w:rPr>
              <w:t>.</w:t>
            </w:r>
          </w:p>
        </w:tc>
        <w:tc>
          <w:tcPr>
            <w:tcW w:w="0" w:type="auto"/>
          </w:tcPr>
          <w:p w14:paraId="603F4018" w14:textId="0C418182" w:rsidR="001971D8" w:rsidRDefault="00CE6128"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has been revised to Table 2</w:t>
            </w:r>
          </w:p>
        </w:tc>
      </w:tr>
      <w:tr w:rsidR="001971D8" w14:paraId="3A283571" w14:textId="77777777" w:rsidTr="00F06066">
        <w:tc>
          <w:tcPr>
            <w:tcW w:w="0" w:type="auto"/>
          </w:tcPr>
          <w:p w14:paraId="6F9C581D" w14:textId="1249CB85"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t xml:space="preserve">The reference section of this study is comprehensive, well-organised, and largely aligned with academic standards, demonstrating a strong engagement with relevant literature in Critical Discourse Analysis (CDA), and media studies. The author should consider that the reference </w:t>
            </w:r>
            <w:proofErr w:type="spellStart"/>
            <w:r w:rsidRPr="001971D8">
              <w:rPr>
                <w:rFonts w:ascii="Times New Roman" w:eastAsia="Times New Roman" w:hAnsi="Times New Roman" w:cs="Times New Roman"/>
                <w:sz w:val="24"/>
                <w:szCs w:val="24"/>
                <w:lang w:eastAsia="en-GB"/>
              </w:rPr>
              <w:t>Wodak</w:t>
            </w:r>
            <w:proofErr w:type="spellEnd"/>
            <w:r w:rsidRPr="001971D8">
              <w:rPr>
                <w:rFonts w:ascii="Times New Roman" w:eastAsia="Times New Roman" w:hAnsi="Times New Roman" w:cs="Times New Roman"/>
                <w:sz w:val="24"/>
                <w:szCs w:val="24"/>
                <w:lang w:eastAsia="en-GB"/>
              </w:rPr>
              <w:t xml:space="preserve"> (2002) is listed in the references but does not appear to be cited in the main text of the study.</w:t>
            </w:r>
          </w:p>
        </w:tc>
        <w:tc>
          <w:tcPr>
            <w:tcW w:w="0" w:type="auto"/>
          </w:tcPr>
          <w:p w14:paraId="5BED5023" w14:textId="197332F5" w:rsidR="001971D8" w:rsidRDefault="00CE6128" w:rsidP="001971D8">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Wodak</w:t>
            </w:r>
            <w:proofErr w:type="spellEnd"/>
            <w:r>
              <w:rPr>
                <w:rFonts w:ascii="Times New Roman" w:eastAsia="Times New Roman" w:hAnsi="Times New Roman" w:cs="Times New Roman"/>
                <w:sz w:val="24"/>
                <w:szCs w:val="24"/>
              </w:rPr>
              <w:t xml:space="preserve"> (2002) has been removed since it does not appear in the main text </w:t>
            </w:r>
          </w:p>
        </w:tc>
      </w:tr>
      <w:tr w:rsidR="001971D8" w14:paraId="28C204E4" w14:textId="77777777" w:rsidTr="00F06066">
        <w:tc>
          <w:tcPr>
            <w:tcW w:w="0" w:type="auto"/>
          </w:tcPr>
          <w:p w14:paraId="72D8D7E5" w14:textId="34116058" w:rsidR="001971D8" w:rsidRPr="001971D8" w:rsidRDefault="001971D8" w:rsidP="001971D8">
            <w:pPr>
              <w:pStyle w:val="ListParagraph"/>
              <w:numPr>
                <w:ilvl w:val="0"/>
                <w:numId w:val="4"/>
              </w:numPr>
              <w:spacing w:line="360" w:lineRule="auto"/>
              <w:jc w:val="both"/>
              <w:rPr>
                <w:rFonts w:ascii="Times New Roman" w:eastAsia="Times New Roman" w:hAnsi="Times New Roman" w:cs="Times New Roman"/>
                <w:sz w:val="24"/>
                <w:szCs w:val="24"/>
              </w:rPr>
            </w:pPr>
            <w:r w:rsidRPr="001971D8">
              <w:rPr>
                <w:rFonts w:ascii="Times New Roman" w:eastAsia="Times New Roman" w:hAnsi="Times New Roman" w:cs="Times New Roman"/>
                <w:sz w:val="24"/>
                <w:szCs w:val="24"/>
                <w:lang w:eastAsia="en-GB"/>
              </w:rPr>
              <w:t xml:space="preserve">Finally, a few infractions have been highlighted in the comment section for the author(s)’ attention and possible correction. </w:t>
            </w:r>
          </w:p>
        </w:tc>
        <w:tc>
          <w:tcPr>
            <w:tcW w:w="0" w:type="auto"/>
          </w:tcPr>
          <w:p w14:paraId="03DF4E0D" w14:textId="2AF69648" w:rsidR="001971D8" w:rsidRDefault="00CE6128" w:rsidP="001971D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other corrections included in the main body of the manuscript </w:t>
            </w:r>
            <w:r w:rsidR="00CC7DE6">
              <w:rPr>
                <w:rFonts w:ascii="Times New Roman" w:eastAsia="Times New Roman" w:hAnsi="Times New Roman" w:cs="Times New Roman"/>
                <w:sz w:val="24"/>
                <w:szCs w:val="24"/>
              </w:rPr>
              <w:t>have</w:t>
            </w:r>
            <w:r>
              <w:rPr>
                <w:rFonts w:ascii="Times New Roman" w:eastAsia="Times New Roman" w:hAnsi="Times New Roman" w:cs="Times New Roman"/>
                <w:sz w:val="24"/>
                <w:szCs w:val="24"/>
              </w:rPr>
              <w:t xml:space="preserve"> been considered and revised accordingly.</w:t>
            </w:r>
          </w:p>
        </w:tc>
      </w:tr>
    </w:tbl>
    <w:p w14:paraId="59320190" w14:textId="77777777" w:rsidR="001971D8" w:rsidRPr="001971D8" w:rsidRDefault="001971D8" w:rsidP="001971D8">
      <w:pPr>
        <w:spacing w:after="0" w:line="360" w:lineRule="auto"/>
        <w:jc w:val="both"/>
        <w:rPr>
          <w:rFonts w:ascii="Times New Roman" w:eastAsia="Times New Roman" w:hAnsi="Times New Roman" w:cs="Times New Roman"/>
          <w:sz w:val="24"/>
          <w:szCs w:val="24"/>
        </w:rPr>
      </w:pPr>
    </w:p>
    <w:sectPr w:rsidR="001971D8" w:rsidRPr="001971D8" w:rsidSect="00F06066">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2F65"/>
    <w:multiLevelType w:val="hybridMultilevel"/>
    <w:tmpl w:val="8FAC50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E21DF0"/>
    <w:multiLevelType w:val="hybridMultilevel"/>
    <w:tmpl w:val="54F4A1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267DBC"/>
    <w:multiLevelType w:val="multilevel"/>
    <w:tmpl w:val="88AE031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DA70A10"/>
    <w:multiLevelType w:val="multilevel"/>
    <w:tmpl w:val="181A087E"/>
    <w:lvl w:ilvl="0">
      <w:start w:val="2"/>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E668F9"/>
    <w:multiLevelType w:val="hybridMultilevel"/>
    <w:tmpl w:val="8FAC50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9710477">
    <w:abstractNumId w:val="1"/>
  </w:num>
  <w:num w:numId="2" w16cid:durableId="1246960558">
    <w:abstractNumId w:val="2"/>
  </w:num>
  <w:num w:numId="3" w16cid:durableId="2146848991">
    <w:abstractNumId w:val="4"/>
  </w:num>
  <w:num w:numId="4" w16cid:durableId="1989704460">
    <w:abstractNumId w:val="0"/>
  </w:num>
  <w:num w:numId="5" w16cid:durableId="1205829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1D8"/>
    <w:rsid w:val="00005236"/>
    <w:rsid w:val="00095856"/>
    <w:rsid w:val="000B79C1"/>
    <w:rsid w:val="00144080"/>
    <w:rsid w:val="00190487"/>
    <w:rsid w:val="001971D8"/>
    <w:rsid w:val="00242845"/>
    <w:rsid w:val="0037097C"/>
    <w:rsid w:val="00395E5C"/>
    <w:rsid w:val="00594A0D"/>
    <w:rsid w:val="005A7CDE"/>
    <w:rsid w:val="006B0F45"/>
    <w:rsid w:val="007772BC"/>
    <w:rsid w:val="0080253D"/>
    <w:rsid w:val="00950A27"/>
    <w:rsid w:val="009F1D98"/>
    <w:rsid w:val="00A306AC"/>
    <w:rsid w:val="00A3554D"/>
    <w:rsid w:val="00A63E5E"/>
    <w:rsid w:val="00AB41C8"/>
    <w:rsid w:val="00AE4F14"/>
    <w:rsid w:val="00B86E64"/>
    <w:rsid w:val="00C72129"/>
    <w:rsid w:val="00CC7DE6"/>
    <w:rsid w:val="00CE6128"/>
    <w:rsid w:val="00E01E5F"/>
    <w:rsid w:val="00E0659E"/>
    <w:rsid w:val="00EA795B"/>
    <w:rsid w:val="00F0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0FB9"/>
  <w15:chartTrackingRefBased/>
  <w15:docId w15:val="{0033738A-8FD5-4E80-A6FE-B947761F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1D8"/>
    <w:pPr>
      <w:spacing w:line="259" w:lineRule="auto"/>
    </w:pPr>
    <w:rPr>
      <w:kern w:val="0"/>
      <w:sz w:val="22"/>
      <w:szCs w:val="22"/>
      <w14:ligatures w14:val="none"/>
    </w:rPr>
  </w:style>
  <w:style w:type="paragraph" w:styleId="Heading1">
    <w:name w:val="heading 1"/>
    <w:basedOn w:val="Normal"/>
    <w:next w:val="Normal"/>
    <w:link w:val="Heading1Char"/>
    <w:uiPriority w:val="9"/>
    <w:qFormat/>
    <w:rsid w:val="00197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7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71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71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71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7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7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7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7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1D8"/>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1971D8"/>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1971D8"/>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1971D8"/>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1971D8"/>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1971D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971D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971D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971D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97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71D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97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71D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971D8"/>
    <w:pPr>
      <w:spacing w:before="160"/>
      <w:jc w:val="center"/>
    </w:pPr>
    <w:rPr>
      <w:i/>
      <w:iCs/>
      <w:color w:val="404040" w:themeColor="text1" w:themeTint="BF"/>
    </w:rPr>
  </w:style>
  <w:style w:type="character" w:customStyle="1" w:styleId="QuoteChar">
    <w:name w:val="Quote Char"/>
    <w:basedOn w:val="DefaultParagraphFont"/>
    <w:link w:val="Quote"/>
    <w:uiPriority w:val="29"/>
    <w:rsid w:val="001971D8"/>
    <w:rPr>
      <w:i/>
      <w:iCs/>
      <w:color w:val="404040" w:themeColor="text1" w:themeTint="BF"/>
      <w:lang w:val="en-US"/>
    </w:rPr>
  </w:style>
  <w:style w:type="paragraph" w:styleId="ListParagraph">
    <w:name w:val="List Paragraph"/>
    <w:basedOn w:val="Normal"/>
    <w:uiPriority w:val="34"/>
    <w:qFormat/>
    <w:rsid w:val="001971D8"/>
    <w:pPr>
      <w:ind w:left="720"/>
      <w:contextualSpacing/>
    </w:pPr>
  </w:style>
  <w:style w:type="character" w:styleId="IntenseEmphasis">
    <w:name w:val="Intense Emphasis"/>
    <w:basedOn w:val="DefaultParagraphFont"/>
    <w:uiPriority w:val="21"/>
    <w:qFormat/>
    <w:rsid w:val="001971D8"/>
    <w:rPr>
      <w:i/>
      <w:iCs/>
      <w:color w:val="0F4761" w:themeColor="accent1" w:themeShade="BF"/>
    </w:rPr>
  </w:style>
  <w:style w:type="paragraph" w:styleId="IntenseQuote">
    <w:name w:val="Intense Quote"/>
    <w:basedOn w:val="Normal"/>
    <w:next w:val="Normal"/>
    <w:link w:val="IntenseQuoteChar"/>
    <w:uiPriority w:val="30"/>
    <w:qFormat/>
    <w:rsid w:val="00197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71D8"/>
    <w:rPr>
      <w:i/>
      <w:iCs/>
      <w:color w:val="0F4761" w:themeColor="accent1" w:themeShade="BF"/>
      <w:lang w:val="en-US"/>
    </w:rPr>
  </w:style>
  <w:style w:type="character" w:styleId="IntenseReference">
    <w:name w:val="Intense Reference"/>
    <w:basedOn w:val="DefaultParagraphFont"/>
    <w:uiPriority w:val="32"/>
    <w:qFormat/>
    <w:rsid w:val="001971D8"/>
    <w:rPr>
      <w:b/>
      <w:bCs/>
      <w:smallCaps/>
      <w:color w:val="0F4761" w:themeColor="accent1" w:themeShade="BF"/>
      <w:spacing w:val="5"/>
    </w:rPr>
  </w:style>
  <w:style w:type="table" w:styleId="TableGrid">
    <w:name w:val="Table Grid"/>
    <w:basedOn w:val="TableNormal"/>
    <w:uiPriority w:val="39"/>
    <w:rsid w:val="00197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Ofosu Dwamena</dc:creator>
  <cp:keywords/>
  <dc:description/>
  <cp:lastModifiedBy>Michael Ofosu Dwamena</cp:lastModifiedBy>
  <cp:revision>3</cp:revision>
  <dcterms:created xsi:type="dcterms:W3CDTF">2026-01-16T12:59:00Z</dcterms:created>
  <dcterms:modified xsi:type="dcterms:W3CDTF">2026-01-17T07:37:00Z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c191492d-9808-44b0-be6f-36d2566cbdcc</vt:lpwstr>
  </property>
</Properties>
</file>